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3E20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B2AA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B2AA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B2AAA">
        <w:rPr>
          <w:rFonts w:ascii="Times New Roman" w:hAnsi="Times New Roman" w:cs="Times New Roman"/>
          <w:b/>
          <w:sz w:val="28"/>
          <w:szCs w:val="28"/>
        </w:rPr>
        <w:t>20.12.2019 №41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CB2AA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2CAE">
        <w:rPr>
          <w:rFonts w:ascii="Times New Roman" w:hAnsi="Times New Roman" w:cs="Times New Roman"/>
          <w:b/>
          <w:sz w:val="28"/>
          <w:szCs w:val="28"/>
        </w:rPr>
        <w:t>ов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EA8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F57EA8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F57EA8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F57EA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 </w:t>
      </w:r>
      <w:r w:rsidR="007E6C66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F57EA8">
        <w:rPr>
          <w:rFonts w:ascii="Times New Roman" w:hAnsi="Times New Roman" w:cs="Times New Roman"/>
          <w:sz w:val="28"/>
          <w:szCs w:val="28"/>
        </w:rPr>
        <w:t xml:space="preserve">    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F57EA8" w:rsidRPr="00F57EA8">
        <w:rPr>
          <w:rFonts w:ascii="Times New Roman" w:hAnsi="Times New Roman" w:cs="Times New Roman"/>
          <w:sz w:val="28"/>
          <w:szCs w:val="28"/>
        </w:rPr>
        <w:t>21</w:t>
      </w:r>
      <w:r w:rsidR="00CB2AAA" w:rsidRPr="00F57EA8">
        <w:rPr>
          <w:rFonts w:ascii="Times New Roman" w:hAnsi="Times New Roman" w:cs="Times New Roman"/>
          <w:sz w:val="28"/>
          <w:szCs w:val="28"/>
        </w:rPr>
        <w:t>.08</w:t>
      </w:r>
      <w:r w:rsidR="00AC09EE" w:rsidRPr="00F57EA8">
        <w:rPr>
          <w:rFonts w:ascii="Times New Roman" w:hAnsi="Times New Roman" w:cs="Times New Roman"/>
          <w:sz w:val="28"/>
          <w:szCs w:val="28"/>
        </w:rPr>
        <w:t>.2020</w:t>
      </w:r>
      <w:r w:rsidR="00EE7DB0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F57EA8">
        <w:rPr>
          <w:rFonts w:ascii="Times New Roman" w:hAnsi="Times New Roman" w:cs="Times New Roman"/>
          <w:sz w:val="28"/>
          <w:szCs w:val="28"/>
        </w:rPr>
        <w:t>г</w:t>
      </w:r>
      <w:r w:rsidRPr="00F57EA8">
        <w:rPr>
          <w:rFonts w:ascii="Times New Roman" w:hAnsi="Times New Roman" w:cs="Times New Roman"/>
          <w:sz w:val="28"/>
          <w:szCs w:val="28"/>
        </w:rPr>
        <w:t>ода</w:t>
      </w:r>
    </w:p>
    <w:p w:rsidR="007E6C66" w:rsidRDefault="007E6C66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413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ст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3B2902" w:rsidRPr="00594A3F">
        <w:rPr>
          <w:rFonts w:ascii="Times New Roman" w:hAnsi="Times New Roman"/>
          <w:sz w:val="28"/>
          <w:szCs w:val="28"/>
        </w:rPr>
        <w:t>Соглашени</w:t>
      </w:r>
      <w:r w:rsidR="007A0ED6">
        <w:rPr>
          <w:rFonts w:ascii="Times New Roman" w:hAnsi="Times New Roman"/>
          <w:sz w:val="28"/>
          <w:szCs w:val="28"/>
        </w:rPr>
        <w:t>е</w:t>
      </w:r>
      <w:r w:rsidR="003B2902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1423C5">
        <w:rPr>
          <w:rFonts w:ascii="Times New Roman" w:hAnsi="Times New Roman"/>
          <w:sz w:val="28"/>
          <w:szCs w:val="28"/>
        </w:rPr>
        <w:t>«</w:t>
      </w:r>
      <w:r w:rsidR="003B2902" w:rsidRPr="00594A3F">
        <w:rPr>
          <w:rFonts w:ascii="Times New Roman" w:hAnsi="Times New Roman"/>
          <w:sz w:val="28"/>
          <w:szCs w:val="28"/>
        </w:rPr>
        <w:t>Вяземский район</w:t>
      </w:r>
      <w:r w:rsidR="001423C5">
        <w:rPr>
          <w:rFonts w:ascii="Times New Roman" w:hAnsi="Times New Roman"/>
          <w:sz w:val="28"/>
          <w:szCs w:val="28"/>
        </w:rPr>
        <w:t>»</w:t>
      </w:r>
      <w:r w:rsidR="003B2902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CB2AAA">
        <w:rPr>
          <w:rFonts w:ascii="Times New Roman" w:hAnsi="Times New Roman"/>
          <w:sz w:val="28"/>
          <w:szCs w:val="28"/>
        </w:rPr>
        <w:t>Тумановского</w:t>
      </w:r>
      <w:r w:rsidR="003B2902">
        <w:rPr>
          <w:rFonts w:ascii="Times New Roman" w:hAnsi="Times New Roman"/>
          <w:sz w:val="28"/>
          <w:szCs w:val="28"/>
        </w:rPr>
        <w:t xml:space="preserve"> сельского</w:t>
      </w:r>
      <w:r w:rsidR="003B2902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3B2902">
        <w:rPr>
          <w:rFonts w:ascii="Times New Roman" w:hAnsi="Times New Roman"/>
          <w:sz w:val="28"/>
          <w:szCs w:val="28"/>
        </w:rPr>
        <w:t xml:space="preserve">контроля от </w:t>
      </w:r>
      <w:r w:rsidR="00E44E21">
        <w:rPr>
          <w:rFonts w:ascii="Times New Roman" w:hAnsi="Times New Roman"/>
          <w:sz w:val="28"/>
          <w:szCs w:val="28"/>
        </w:rPr>
        <w:t>31.05.2012 №18</w:t>
      </w:r>
      <w:r w:rsidR="00464356">
        <w:rPr>
          <w:rFonts w:ascii="Times New Roman" w:hAnsi="Times New Roman"/>
          <w:sz w:val="28"/>
          <w:szCs w:val="28"/>
        </w:rPr>
        <w:t xml:space="preserve"> </w:t>
      </w:r>
      <w:r w:rsidR="007E6C66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E44E21">
        <w:rPr>
          <w:rFonts w:ascii="Times New Roman" w:hAnsi="Times New Roman" w:cs="Times New Roman"/>
          <w:sz w:val="28"/>
          <w:szCs w:val="28"/>
        </w:rPr>
        <w:t>8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F7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A26309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A26309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</w:t>
      </w:r>
      <w:r w:rsidR="007A0ED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</w:t>
      </w:r>
      <w:r w:rsidR="00E44E21">
        <w:rPr>
          <w:sz w:val="28"/>
          <w:szCs w:val="28"/>
        </w:rPr>
        <w:t>ия на очередной финансовый год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</w:t>
      </w:r>
      <w:r w:rsidR="007A0ED6">
        <w:rPr>
          <w:rFonts w:eastAsia="Calibri"/>
          <w:color w:val="000000"/>
          <w:sz w:val="28"/>
          <w:szCs w:val="28"/>
        </w:rPr>
        <w:t>сельского поселения</w:t>
      </w:r>
      <w:r w:rsidRPr="00AC09EE">
        <w:rPr>
          <w:rFonts w:eastAsia="Calibri"/>
          <w:color w:val="000000"/>
          <w:sz w:val="28"/>
          <w:szCs w:val="28"/>
        </w:rPr>
        <w:t xml:space="preserve"> проекта решения о внесении изменений в </w:t>
      </w:r>
      <w:r w:rsidR="00A26309">
        <w:rPr>
          <w:rFonts w:eastAsia="Calibri"/>
          <w:color w:val="000000"/>
          <w:sz w:val="28"/>
          <w:szCs w:val="28"/>
        </w:rPr>
        <w:t xml:space="preserve">решение о </w:t>
      </w:r>
      <w:r w:rsidRPr="00AC09EE">
        <w:rPr>
          <w:rFonts w:eastAsia="Calibri"/>
          <w:color w:val="000000"/>
          <w:sz w:val="28"/>
          <w:szCs w:val="28"/>
        </w:rPr>
        <w:t>бюджет</w:t>
      </w:r>
      <w:r w:rsidR="00A26309">
        <w:rPr>
          <w:rFonts w:eastAsia="Calibri"/>
          <w:color w:val="000000"/>
          <w:sz w:val="28"/>
          <w:szCs w:val="28"/>
        </w:rPr>
        <w:t>е</w:t>
      </w:r>
      <w:r w:rsidRPr="00AC09EE">
        <w:rPr>
          <w:rFonts w:eastAsia="Calibri"/>
          <w:color w:val="000000"/>
          <w:sz w:val="28"/>
          <w:szCs w:val="28"/>
        </w:rPr>
        <w:t xml:space="preserve"> на о</w:t>
      </w:r>
      <w:r w:rsidR="00E44E21">
        <w:rPr>
          <w:rFonts w:eastAsia="Calibri"/>
          <w:color w:val="000000"/>
          <w:sz w:val="28"/>
          <w:szCs w:val="28"/>
        </w:rPr>
        <w:t>чередной финансовый год</w:t>
      </w:r>
      <w:r w:rsidRPr="00AC09EE">
        <w:rPr>
          <w:rFonts w:eastAsia="Calibri"/>
          <w:color w:val="000000"/>
          <w:sz w:val="28"/>
          <w:szCs w:val="28"/>
        </w:rPr>
        <w:t>, а также документов и материалов, пред</w:t>
      </w:r>
      <w:r w:rsidR="00A26309">
        <w:rPr>
          <w:rFonts w:eastAsia="Calibri"/>
          <w:color w:val="000000"/>
          <w:sz w:val="28"/>
          <w:szCs w:val="28"/>
        </w:rPr>
        <w:t>о</w:t>
      </w:r>
      <w:r w:rsidRPr="00AC09EE">
        <w:rPr>
          <w:rFonts w:eastAsia="Calibri"/>
          <w:color w:val="000000"/>
          <w:sz w:val="28"/>
          <w:szCs w:val="28"/>
        </w:rPr>
        <w:t xml:space="preserve">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 w:rsidR="00E44E21">
        <w:rPr>
          <w:rFonts w:ascii="Times New Roman" w:hAnsi="Times New Roman"/>
          <w:sz w:val="28"/>
          <w:szCs w:val="28"/>
        </w:rPr>
        <w:t xml:space="preserve">Положение о бюджетном процессе в Тумановском сельском поселении Вяземского района Смоленской области, утвержденное решением Совета </w:t>
      </w:r>
      <w:r w:rsidR="00E44E21">
        <w:rPr>
          <w:rFonts w:ascii="Times New Roman" w:hAnsi="Times New Roman"/>
          <w:sz w:val="28"/>
          <w:szCs w:val="28"/>
        </w:rPr>
        <w:lastRenderedPageBreak/>
        <w:t xml:space="preserve">депутатов Тумановского сельского поселения Вяземского района Смоленской области от 20.03.2020 №4 </w:t>
      </w:r>
      <w:r w:rsidR="00EB4797"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7A0ED6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7A0E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44E21">
        <w:rPr>
          <w:rFonts w:ascii="Times New Roman" w:hAnsi="Times New Roman" w:cs="Times New Roman"/>
          <w:sz w:val="28"/>
          <w:szCs w:val="28"/>
        </w:rPr>
        <w:t>20.12.2019 №41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</w:t>
      </w:r>
      <w:r w:rsidR="00A42CAE">
        <w:rPr>
          <w:rFonts w:ascii="Times New Roman" w:hAnsi="Times New Roman" w:cs="Times New Roman"/>
          <w:sz w:val="28"/>
          <w:szCs w:val="28"/>
        </w:rPr>
        <w:t>плановый период 2021 и 2022 годов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>П</w:t>
      </w:r>
      <w:r w:rsidR="00EB4797" w:rsidRPr="009F6238">
        <w:rPr>
          <w:rFonts w:ascii="Times New Roman" w:hAnsi="Times New Roman" w:cs="Times New Roman"/>
          <w:sz w:val="28"/>
          <w:szCs w:val="28"/>
        </w:rPr>
        <w:t>роект</w:t>
      </w:r>
      <w:r w:rsidR="00A24FE4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B4797" w:rsidRPr="009F6238">
        <w:rPr>
          <w:rFonts w:ascii="Times New Roman" w:hAnsi="Times New Roman" w:cs="Times New Roman"/>
          <w:sz w:val="28"/>
          <w:szCs w:val="28"/>
        </w:rPr>
        <w:t>бюджет</w:t>
      </w:r>
      <w:r w:rsidR="007A0ED6" w:rsidRPr="009F6238">
        <w:rPr>
          <w:rFonts w:ascii="Times New Roman" w:hAnsi="Times New Roman" w:cs="Times New Roman"/>
          <w:sz w:val="28"/>
          <w:szCs w:val="28"/>
        </w:rPr>
        <w:t>е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9F6238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26FC6" w:rsidRPr="009F6238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4797" w:rsidRPr="009F6238">
        <w:rPr>
          <w:rFonts w:ascii="Times New Roman" w:hAnsi="Times New Roman" w:cs="Times New Roman"/>
          <w:sz w:val="28"/>
          <w:szCs w:val="28"/>
        </w:rPr>
        <w:t>Вяземск</w:t>
      </w:r>
      <w:r w:rsidR="007A0ED6" w:rsidRPr="009F6238">
        <w:rPr>
          <w:rFonts w:ascii="Times New Roman" w:hAnsi="Times New Roman" w:cs="Times New Roman"/>
          <w:sz w:val="28"/>
          <w:szCs w:val="28"/>
        </w:rPr>
        <w:t>ого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0ED6" w:rsidRPr="009F6238">
        <w:rPr>
          <w:rFonts w:ascii="Times New Roman" w:hAnsi="Times New Roman" w:cs="Times New Roman"/>
          <w:sz w:val="28"/>
          <w:szCs w:val="28"/>
        </w:rPr>
        <w:t>а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Смоленской области (вх. от </w:t>
      </w:r>
      <w:r w:rsidR="00481EF1">
        <w:rPr>
          <w:rFonts w:ascii="Times New Roman" w:hAnsi="Times New Roman" w:cs="Times New Roman"/>
          <w:sz w:val="28"/>
          <w:szCs w:val="28"/>
        </w:rPr>
        <w:t>18.08.2020 №191-С</w:t>
      </w:r>
      <w:r w:rsidR="00175A45" w:rsidRPr="009F6238">
        <w:rPr>
          <w:rFonts w:ascii="Times New Roman" w:hAnsi="Times New Roman" w:cs="Times New Roman"/>
          <w:sz w:val="28"/>
          <w:szCs w:val="28"/>
        </w:rPr>
        <w:t>)</w:t>
      </w:r>
      <w:r w:rsidR="007B1C6E"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81EF1">
        <w:rPr>
          <w:rFonts w:ascii="Times New Roman" w:hAnsi="Times New Roman" w:cs="Times New Roman"/>
          <w:sz w:val="28"/>
          <w:szCs w:val="28"/>
        </w:rPr>
        <w:t>20.12.2019 №41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>
        <w:rPr>
          <w:rFonts w:ascii="Times New Roman" w:hAnsi="Times New Roman" w:cs="Times New Roman"/>
          <w:sz w:val="28"/>
          <w:szCs w:val="28"/>
        </w:rPr>
        <w:t>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2FA" w:rsidRPr="000952FA" w:rsidRDefault="000952FA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FA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</w:t>
      </w:r>
    </w:p>
    <w:p w:rsidR="000952FA" w:rsidRDefault="000952FA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2FA" w:rsidRDefault="000952FA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67915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 xml:space="preserve">текстовых </w:t>
      </w:r>
      <w:r w:rsidRPr="00267915">
        <w:rPr>
          <w:rFonts w:ascii="Times New Roman" w:hAnsi="Times New Roman" w:cs="Times New Roman"/>
          <w:b/>
          <w:sz w:val="28"/>
          <w:szCs w:val="28"/>
        </w:rPr>
        <w:t xml:space="preserve">показателей, утвержденных решением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Тумановского сельского</w:t>
      </w:r>
      <w:r w:rsidRPr="00267915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20.12.2019 №41</w:t>
      </w:r>
    </w:p>
    <w:p w:rsidR="0017099A" w:rsidRDefault="0017099A" w:rsidP="00DC26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99A" w:rsidRDefault="00D05C8C" w:rsidP="00DC26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8C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99A">
        <w:rPr>
          <w:rFonts w:ascii="Times New Roman" w:hAnsi="Times New Roman" w:cs="Times New Roman"/>
          <w:sz w:val="28"/>
          <w:szCs w:val="28"/>
        </w:rPr>
        <w:t>Бюджет Тумановского сельского поселения Вяземского района Смоленской области на 2020 год и плановый период 2021 и 2022 годов утвержден решением Совета депутатов Тумановского сельского поселения Вяземского района Смоленской области от 20.12.2019 №41.</w:t>
      </w:r>
    </w:p>
    <w:p w:rsidR="0017099A" w:rsidRDefault="0017099A" w:rsidP="00DC26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18 текстовой части решения Совета депутатов Тумановского сельского поселения Вяземского района Смоленской области от 20.12.2019 №41 «О бюджете Тумановского сельского поселения Вяземского района Смоленской области на 2020 год и плановый период 2021 и 2022 годов» (далее – решение о бюджете от 20.12.2019 №41) </w:t>
      </w:r>
      <w:r w:rsidR="00AC7F70">
        <w:rPr>
          <w:rFonts w:ascii="Times New Roman" w:hAnsi="Times New Roman" w:cs="Times New Roman"/>
          <w:sz w:val="28"/>
          <w:szCs w:val="28"/>
        </w:rPr>
        <w:t>определено: «Утвердить прогнозируемый объем доходов бюджета поселения в части доходов, установленных решением Совета депутатов Тумановского сельского поселения от 11.11.2013 №26 «Об утверждении порядка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области»</w:t>
      </w:r>
      <w:r w:rsidR="001F2124">
        <w:rPr>
          <w:rFonts w:ascii="Times New Roman" w:hAnsi="Times New Roman" w:cs="Times New Roman"/>
          <w:sz w:val="28"/>
          <w:szCs w:val="28"/>
        </w:rPr>
        <w:t>.</w:t>
      </w:r>
    </w:p>
    <w:p w:rsidR="001F2124" w:rsidRDefault="001F2124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Таким образом, в п.18 решения о бюджете от 20.12.2019 №41 отражены требования, предусмотренные п.5 ст.179.4 БК РФ, а именно: «</w:t>
      </w:r>
      <w:r>
        <w:rPr>
          <w:rFonts w:eastAsiaTheme="minorHAnsi"/>
          <w:sz w:val="28"/>
          <w:szCs w:val="28"/>
          <w:lang w:eastAsia="en-US"/>
        </w:rPr>
        <w:t xml:space="preserve">Объем бюджетных </w:t>
      </w:r>
      <w:r>
        <w:rPr>
          <w:rFonts w:eastAsiaTheme="minorHAnsi"/>
          <w:sz w:val="28"/>
          <w:szCs w:val="28"/>
          <w:lang w:eastAsia="en-US"/>
        </w:rPr>
        <w:lastRenderedPageBreak/>
        <w:t>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образования».</w:t>
      </w:r>
    </w:p>
    <w:p w:rsidR="001F2124" w:rsidRDefault="00F1038C" w:rsidP="00DC26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Решением</w:t>
      </w:r>
      <w:r w:rsidR="001F2124">
        <w:rPr>
          <w:rFonts w:eastAsiaTheme="minorHAnsi"/>
          <w:sz w:val="28"/>
          <w:szCs w:val="28"/>
          <w:lang w:eastAsia="en-US"/>
        </w:rPr>
        <w:t xml:space="preserve"> Совета депутатов Тумановского сельского поселения Вяземского района Смоленской области от 24.04.2019 №10 утверждено </w:t>
      </w:r>
      <w:r>
        <w:rPr>
          <w:rFonts w:eastAsiaTheme="minorHAnsi"/>
          <w:sz w:val="28"/>
          <w:szCs w:val="28"/>
          <w:lang w:eastAsia="en-US"/>
        </w:rPr>
        <w:t xml:space="preserve">новое </w:t>
      </w:r>
      <w:r w:rsidR="001F2124">
        <w:rPr>
          <w:rFonts w:eastAsiaTheme="minorHAnsi"/>
          <w:sz w:val="28"/>
          <w:szCs w:val="28"/>
          <w:lang w:eastAsia="en-US"/>
        </w:rPr>
        <w:t xml:space="preserve">Положение о порядке формирования и использования  </w:t>
      </w:r>
      <w:r w:rsidR="001F2124">
        <w:rPr>
          <w:sz w:val="28"/>
          <w:szCs w:val="28"/>
        </w:rPr>
        <w:t xml:space="preserve"> </w:t>
      </w:r>
      <w:r w:rsidR="00AF795C">
        <w:rPr>
          <w:sz w:val="28"/>
          <w:szCs w:val="28"/>
        </w:rPr>
        <w:t>бюджетных ассигнований муниципального дорожного фонда Тумановского сельского поселения Вяземского района Смоленской области.</w:t>
      </w:r>
    </w:p>
    <w:p w:rsidR="00AF795C" w:rsidRDefault="00AF795C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п.5 ст.179.4 БК РФ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образования.</w:t>
      </w:r>
    </w:p>
    <w:p w:rsidR="00AF795C" w:rsidRDefault="00AF795C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Следовательно, решениями Совета депутатов Тумановского сельского поселения от 11.11.2013 №26 и от 24.04.2019 №10 утверждены два Порядка формирования и использования бюджетных ассигнований муниципального дорожного фонда Тумановского сельского поселения.</w:t>
      </w:r>
    </w:p>
    <w:p w:rsidR="00AF795C" w:rsidRDefault="00AF795C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одно из решений Совета депутатов необходимо признать утратившим силу.</w:t>
      </w:r>
    </w:p>
    <w:p w:rsidR="00AF795C" w:rsidRDefault="00AF795C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Исходя из того, что, решением Совета депутатов от 24.04.2019 года утверждено новое Положение о порядке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области, необходимо решение Совета депутатов Тумановского сельского поселения Вяземского района Смоленской области от 11.11.2013 №26 признать утратившим силу.</w:t>
      </w:r>
    </w:p>
    <w:p w:rsidR="00DE7F2A" w:rsidRDefault="00DE7F2A" w:rsidP="00DE7F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установлено, что в решение о бюджете от 20.12.2019 №41 при формировании и использовании муниципального дорожного фонда содержаться условия, предусмотренные решением от 24.04.2019 №10.</w:t>
      </w:r>
    </w:p>
    <w:p w:rsidR="00F1038C" w:rsidRDefault="00F1038C" w:rsidP="00F103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необходимо внести изменения в п.18  решения Совета депутатов Тумановского сельского поселения Вяземского района Смоленской области от 20.12.2019 №41 изложив его в следующей редакции: «Утвердить прогнозируемый объем доходов бюджета поселения в части доходов, установленных решением Совета депутатов Тумановского сельского поселения от 24.04.2019 №10 «Об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области».</w:t>
      </w:r>
    </w:p>
    <w:p w:rsidR="00AF795C" w:rsidRDefault="00191AA9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п.</w:t>
      </w:r>
      <w:r w:rsidR="00AF795C">
        <w:rPr>
          <w:rFonts w:eastAsiaTheme="minorHAnsi"/>
          <w:sz w:val="28"/>
          <w:szCs w:val="28"/>
          <w:lang w:eastAsia="en-US"/>
        </w:rPr>
        <w:t>3 решения от 24.04.2019 №10 определено: «Решение Совета депутатов Тумановского сельского поселения Вяземского района Смоленской области от 31.03.2017 №12 «О создании муниципального дорожного фонда Тумановского сельского поселения Вяземского района Смоленской области»</w:t>
      </w:r>
      <w:r w:rsidR="00DC2645">
        <w:rPr>
          <w:rFonts w:eastAsiaTheme="minorHAnsi"/>
          <w:sz w:val="28"/>
          <w:szCs w:val="28"/>
          <w:lang w:eastAsia="en-US"/>
        </w:rPr>
        <w:t xml:space="preserve"> считать утратившим силу».</w:t>
      </w:r>
    </w:p>
    <w:p w:rsidR="00DC2645" w:rsidRDefault="00DC2645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п.5 ст.179.4 БК РФ 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</w:t>
      </w:r>
      <w:r>
        <w:rPr>
          <w:rFonts w:eastAsiaTheme="minorHAnsi"/>
          <w:sz w:val="28"/>
          <w:szCs w:val="28"/>
          <w:lang w:eastAsia="en-US"/>
        </w:rPr>
        <w:lastRenderedPageBreak/>
        <w:t>решением представительного органа муниципального образования (за исключением решения о местном бюджете).</w:t>
      </w:r>
    </w:p>
    <w:p w:rsidR="00DC2645" w:rsidRDefault="00DC2645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 п.5 ст.179.4 БК РФ решением Совета депутатов Тумановского сельского поселения Вяземского района Смоленской области от 31.03.2017 №12 создан муниципальный дорожный фонд Тумановского сельского поселения Вяземского района Смоленской области, с учетом того, что «настоящее решение распространяет свое действие на правоотношения, возникшие с 1 января 2014 года».</w:t>
      </w:r>
    </w:p>
    <w:p w:rsidR="00DC2645" w:rsidRDefault="00DC2645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 вышеизложенного следует, что п.3 решения от 24.04.2019 №10 отменяет создание муниципального дорожного фонда, что противоречит п.5 ст.179.4 БК РФ.</w:t>
      </w:r>
    </w:p>
    <w:p w:rsidR="00DC2645" w:rsidRDefault="00DC2645" w:rsidP="00D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Следовательно, необходимо внести изменения в п.3 решения Совета депутатов Тумановского сельского поселения Вяземского района Смоленской области от 24.04.2019 №10 признав решение Совета депутатов Тумановского сельско</w:t>
      </w:r>
      <w:r w:rsidR="00D05C8C">
        <w:rPr>
          <w:rFonts w:eastAsiaTheme="minorHAnsi"/>
          <w:sz w:val="28"/>
          <w:szCs w:val="28"/>
          <w:lang w:eastAsia="en-US"/>
        </w:rPr>
        <w:t>го поселени</w:t>
      </w:r>
      <w:r>
        <w:rPr>
          <w:rFonts w:eastAsiaTheme="minorHAnsi"/>
          <w:sz w:val="28"/>
          <w:szCs w:val="28"/>
          <w:lang w:eastAsia="en-US"/>
        </w:rPr>
        <w:t xml:space="preserve">я Вяземского района Смоленской области от 31.03.2017 №12 «О создании </w:t>
      </w:r>
      <w:r w:rsidR="00D05C8C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дорожного фонда Тумановского сельского поселения Вяземского района Смоленской области» </w:t>
      </w:r>
      <w:r w:rsidR="00D05C8C">
        <w:rPr>
          <w:rFonts w:eastAsiaTheme="minorHAnsi"/>
          <w:sz w:val="28"/>
          <w:szCs w:val="28"/>
          <w:lang w:eastAsia="en-US"/>
        </w:rPr>
        <w:t>- действующим.</w:t>
      </w:r>
    </w:p>
    <w:p w:rsidR="00AF795C" w:rsidRDefault="00D05C8C" w:rsidP="00DC26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5C8C">
        <w:rPr>
          <w:rFonts w:eastAsiaTheme="minorHAnsi"/>
          <w:b/>
          <w:sz w:val="28"/>
          <w:szCs w:val="28"/>
          <w:lang w:eastAsia="en-US"/>
        </w:rPr>
        <w:t>1.2.</w:t>
      </w:r>
      <w:r>
        <w:rPr>
          <w:rFonts w:eastAsiaTheme="minorHAnsi"/>
          <w:sz w:val="28"/>
          <w:szCs w:val="28"/>
          <w:lang w:eastAsia="en-US"/>
        </w:rPr>
        <w:t xml:space="preserve"> Проектом решения «О внесении изменений в решение от 20.12.2019 №41 «О бюджете Тумановского сельского поселения Вяземского районам Смоленской области на 2020 год и плановый период 2021 и 2022 годов» планируется подпункты 1, 3, 5 п.22 текстовой части решения о бюджете исключить. Д</w:t>
      </w:r>
      <w:r w:rsidR="002A405B">
        <w:rPr>
          <w:rFonts w:eastAsiaTheme="minorHAnsi"/>
          <w:sz w:val="28"/>
          <w:szCs w:val="28"/>
          <w:lang w:eastAsia="en-US"/>
        </w:rPr>
        <w:t>анны</w:t>
      </w:r>
      <w:r>
        <w:rPr>
          <w:rFonts w:eastAsiaTheme="minorHAnsi"/>
          <w:sz w:val="28"/>
          <w:szCs w:val="28"/>
          <w:lang w:eastAsia="en-US"/>
        </w:rPr>
        <w:t xml:space="preserve">е </w:t>
      </w:r>
      <w:r w:rsidR="002A405B">
        <w:rPr>
          <w:rFonts w:eastAsiaTheme="minorHAnsi"/>
          <w:sz w:val="28"/>
          <w:szCs w:val="28"/>
          <w:lang w:eastAsia="en-US"/>
        </w:rPr>
        <w:t xml:space="preserve">поправки обусловлены внесенными изменениями в ст.107 </w:t>
      </w:r>
      <w:r w:rsidR="00DE7F2A">
        <w:rPr>
          <w:rFonts w:eastAsiaTheme="minorHAnsi"/>
          <w:sz w:val="28"/>
          <w:szCs w:val="28"/>
          <w:lang w:eastAsia="en-US"/>
        </w:rPr>
        <w:t>Бюджетного кодекса Российской Федерации</w:t>
      </w:r>
      <w:r w:rsidR="002A405B">
        <w:rPr>
          <w:rFonts w:eastAsiaTheme="minorHAnsi"/>
          <w:sz w:val="28"/>
          <w:szCs w:val="28"/>
          <w:lang w:eastAsia="en-US"/>
        </w:rPr>
        <w:t xml:space="preserve">. </w:t>
      </w:r>
    </w:p>
    <w:p w:rsidR="000952FA" w:rsidRDefault="000952FA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CB2AAA">
        <w:rPr>
          <w:rStyle w:val="ad"/>
          <w:rFonts w:ascii="Times New Roman" w:hAnsi="Times New Roman" w:cs="Times New Roman"/>
          <w:color w:val="222222"/>
          <w:sz w:val="28"/>
          <w:szCs w:val="28"/>
        </w:rPr>
        <w:t>Тумановского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поселения Вяземского района Смоленской области на 2020 год 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F91113" w:rsidRPr="005F261D" w:rsidRDefault="005C296A" w:rsidP="00BB300D">
      <w:pPr>
        <w:ind w:firstLine="709"/>
        <w:jc w:val="both"/>
        <w:rPr>
          <w:sz w:val="28"/>
          <w:szCs w:val="28"/>
        </w:rPr>
      </w:pPr>
      <w:r w:rsidRPr="005F261D">
        <w:rPr>
          <w:b/>
          <w:sz w:val="28"/>
          <w:szCs w:val="28"/>
        </w:rPr>
        <w:t>1.</w:t>
      </w:r>
      <w:r w:rsidRPr="005F261D">
        <w:rPr>
          <w:sz w:val="28"/>
          <w:szCs w:val="28"/>
        </w:rPr>
        <w:t xml:space="preserve"> </w:t>
      </w:r>
      <w:r w:rsidR="004676FB" w:rsidRPr="005F261D">
        <w:rPr>
          <w:sz w:val="28"/>
          <w:szCs w:val="28"/>
        </w:rPr>
        <w:t>И</w:t>
      </w:r>
      <w:r w:rsidR="00B04AAF" w:rsidRPr="005F261D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5F261D">
        <w:rPr>
          <w:sz w:val="28"/>
          <w:szCs w:val="28"/>
        </w:rPr>
        <w:t xml:space="preserve">увеличением и </w:t>
      </w:r>
      <w:r w:rsidR="00B04AAF" w:rsidRPr="005F261D">
        <w:rPr>
          <w:sz w:val="28"/>
          <w:szCs w:val="28"/>
        </w:rPr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5F261D">
        <w:rPr>
          <w:sz w:val="28"/>
          <w:szCs w:val="28"/>
        </w:rPr>
        <w:t>сельского</w:t>
      </w:r>
      <w:r w:rsidR="00F91113" w:rsidRPr="005F261D">
        <w:rPr>
          <w:sz w:val="28"/>
          <w:szCs w:val="28"/>
        </w:rPr>
        <w:t xml:space="preserve"> поселения.</w:t>
      </w:r>
    </w:p>
    <w:p w:rsidR="00B04AAF" w:rsidRPr="00A708FF" w:rsidRDefault="00B04AAF" w:rsidP="00BB300D">
      <w:pPr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</w:t>
      </w:r>
      <w:r w:rsidR="00E053CD">
        <w:rPr>
          <w:sz w:val="28"/>
          <w:szCs w:val="28"/>
        </w:rPr>
        <w:t>юджете представлены в таблице №</w:t>
      </w:r>
      <w:r w:rsidR="00FB0B15">
        <w:rPr>
          <w:sz w:val="28"/>
          <w:szCs w:val="28"/>
        </w:rPr>
        <w:t>1</w:t>
      </w:r>
      <w:r w:rsidRPr="00A708FF">
        <w:rPr>
          <w:sz w:val="28"/>
          <w:szCs w:val="28"/>
        </w:rPr>
        <w:t>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</w:t>
      </w:r>
      <w:r w:rsidR="00FB0B15">
        <w:rPr>
          <w:rFonts w:ascii="Times New Roman" w:hAnsi="Times New Roman" w:cs="Times New Roman"/>
          <w:sz w:val="24"/>
          <w:szCs w:val="24"/>
        </w:rPr>
        <w:t>1</w:t>
      </w:r>
      <w:r w:rsidRPr="00E44093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4"/>
        <w:gridCol w:w="5315"/>
        <w:gridCol w:w="1417"/>
        <w:gridCol w:w="1276"/>
        <w:gridCol w:w="1134"/>
      </w:tblGrid>
      <w:tr w:rsidR="00481EF1" w:rsidRPr="00481EF1" w:rsidTr="00481EF1">
        <w:trPr>
          <w:trHeight w:val="10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№ пункта решения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Наименование характеристик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Решение о бюджете от 20.12.2019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Отклонения (+,-)</w:t>
            </w:r>
          </w:p>
        </w:tc>
      </w:tr>
      <w:tr w:rsidR="00481EF1" w:rsidRPr="00481EF1" w:rsidTr="00481EF1">
        <w:trPr>
          <w:trHeight w:val="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481EF1" w:rsidRDefault="00481EF1" w:rsidP="00481EF1">
            <w:r w:rsidRPr="00481EF1"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481EF1" w:rsidRPr="00481EF1" w:rsidTr="00481EF1">
        <w:trPr>
          <w:trHeight w:val="25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Доходы на 2020 год,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15419,0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16743,2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>
              <w:t>+</w:t>
            </w:r>
            <w:r w:rsidRPr="00481EF1">
              <w:t>1324,2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безвозмездные поступления, из которых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7521,3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8845,5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>
              <w:t>+</w:t>
            </w:r>
            <w:r w:rsidRPr="00481EF1">
              <w:t>1324,2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получаемые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7521,3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8845,5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>
              <w:t>+</w:t>
            </w:r>
            <w:r w:rsidRPr="00481EF1">
              <w:t>1324,2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Расходы 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15419,0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17527,7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>
              <w:t>+</w:t>
            </w:r>
            <w:r w:rsidRPr="00481EF1">
              <w:t>2108,7</w:t>
            </w:r>
          </w:p>
        </w:tc>
      </w:tr>
      <w:tr w:rsidR="00481EF1" w:rsidRPr="00481EF1" w:rsidTr="00481EF1">
        <w:trPr>
          <w:trHeight w:val="30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3)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Дефицит (профицит) 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-784,5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-784,5</w:t>
            </w:r>
          </w:p>
        </w:tc>
      </w:tr>
      <w:tr w:rsidR="00481EF1" w:rsidRPr="00481EF1" w:rsidTr="00481EF1">
        <w:trPr>
          <w:trHeight w:val="69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lastRenderedPageBreak/>
              <w:t>2.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Межбюджетные трансферты, предоставляемые из бюджета сельского поселения в бюд</w:t>
            </w:r>
            <w:r>
              <w:t>жет муниципального образования «</w:t>
            </w:r>
            <w:r w:rsidRPr="00481EF1">
              <w:t>Вяземский район</w:t>
            </w:r>
            <w:r>
              <w:t>»</w:t>
            </w:r>
            <w:r w:rsidRPr="00481EF1">
              <w:t xml:space="preserve"> Смоленской области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88058E">
        <w:trPr>
          <w:trHeight w:val="2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3.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Доходы на 2021 год,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8812,0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8812,0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безвозмездные поступления, из которых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635,3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635,3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получаемые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635,6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635,6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Доходы на 2022 год,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8962,3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8962,3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безвозмездные поступления, из которых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656,9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656,9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получаемые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656,9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656,9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Расходы на 2021 год,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8812,0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8812,0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условно утверждённые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Расходы на 2022 год,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8962,3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8962,3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условно утверждённые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432,4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3)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Дефицит (профицит)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r w:rsidRPr="00481EF1">
              <w:t>Дефицит (профицит)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74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4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F91113">
            <w:r w:rsidRPr="00481EF1">
              <w:t>Межбюджетные трансферты, предоставляемые из бюджета сельского поселения в бюд</w:t>
            </w:r>
            <w:r w:rsidR="00F91113">
              <w:t>жет муниципального образования «</w:t>
            </w:r>
            <w:r w:rsidRPr="00481EF1">
              <w:t>Вяземский район</w:t>
            </w:r>
            <w:r w:rsidR="00F91113">
              <w:t>»</w:t>
            </w:r>
            <w:r w:rsidRPr="00481EF1">
              <w:t xml:space="preserve"> Смоленской области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6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5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EF1" w:rsidRPr="00481EF1" w:rsidRDefault="00481EF1" w:rsidP="00F91113">
            <w:r w:rsidRPr="00481EF1">
              <w:t>Межбюджетные трансферты, предоставляемые из бюджета сельского поселения в бюд</w:t>
            </w:r>
            <w:r w:rsidR="00F91113">
              <w:t>жет муниципального образования «</w:t>
            </w:r>
            <w:r w:rsidRPr="00481EF1">
              <w:t>Вяземский район</w:t>
            </w:r>
            <w:r w:rsidR="00F91113">
              <w:t>»</w:t>
            </w:r>
            <w:r w:rsidRPr="00481EF1">
              <w:t xml:space="preserve"> Смоленской области в 2022 году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4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14.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652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15.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14230,7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15949,5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>
              <w:t>+</w:t>
            </w:r>
            <w:r w:rsidRPr="00481EF1">
              <w:t>1718,8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7417,7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7417,7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7332,7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7332,7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9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17.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Объем бюджетных ассигнований дорожного фонда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2619,4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4702,6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>
              <w:t>+</w:t>
            </w:r>
            <w:r w:rsidRPr="00481EF1">
              <w:t>2083,2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3)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587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18.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8F710A">
            <w:r w:rsidRPr="00481EF1">
              <w:t xml:space="preserve">Объем бюджетных ассигнований дорожного фонда сельского поселения, установленных решением Совета депутатов от </w:t>
            </w:r>
            <w:r w:rsidR="008F710A">
              <w:t>11.11.2013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2619,4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3918,1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>
              <w:t>+</w:t>
            </w:r>
            <w:r w:rsidRPr="00481EF1">
              <w:t>1298,7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EF1" w:rsidRPr="00481EF1" w:rsidRDefault="00481EF1" w:rsidP="00481EF1"/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78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lastRenderedPageBreak/>
              <w:t>19.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на 2020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989,0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1302,5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ind w:left="353" w:hanging="353"/>
              <w:jc w:val="right"/>
            </w:pPr>
            <w:r>
              <w:t>+</w:t>
            </w:r>
            <w:r w:rsidRPr="00481EF1">
              <w:t>313,5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на 2021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3)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на 2022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3E20B9">
        <w:trPr>
          <w:trHeight w:val="75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20.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5B3A0E">
            <w:r w:rsidRPr="00481EF1">
              <w:t xml:space="preserve">Резервный фонд Администрации </w:t>
            </w:r>
            <w:r w:rsidR="005B3A0E">
              <w:t xml:space="preserve">Тумановского </w:t>
            </w:r>
            <w:bookmarkStart w:id="0" w:name="_GoBack"/>
            <w:bookmarkEnd w:id="0"/>
            <w:r w:rsidRPr="00481EF1">
              <w:t>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 xml:space="preserve">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3)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481EF1" w:rsidRDefault="00481EF1" w:rsidP="00481EF1">
            <w:r w:rsidRPr="00481EF1">
              <w:t>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0,0</w:t>
            </w:r>
          </w:p>
        </w:tc>
      </w:tr>
      <w:tr w:rsidR="00481EF1" w:rsidRPr="00481EF1" w:rsidTr="003E20B9">
        <w:trPr>
          <w:trHeight w:val="23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center"/>
            </w:pPr>
            <w:r w:rsidRPr="00481EF1">
              <w:t>22.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F1" w:rsidRPr="00481EF1" w:rsidRDefault="00481EF1" w:rsidP="00481EF1">
            <w:r w:rsidRPr="00481E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EF1" w:rsidRPr="00481EF1" w:rsidRDefault="00481EF1" w:rsidP="00481EF1">
            <w:pPr>
              <w:jc w:val="right"/>
            </w:pPr>
            <w:r w:rsidRPr="00481EF1">
              <w:t> </w:t>
            </w:r>
          </w:p>
        </w:tc>
      </w:tr>
      <w:tr w:rsidR="003E20B9" w:rsidRPr="00481EF1" w:rsidTr="003E20B9">
        <w:trPr>
          <w:trHeight w:val="53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 xml:space="preserve">Верхний предел муниципального внутреннего долга на 1 января 2021 года по долговым обязательствам сельского поселения,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3E20B9">
        <w:trPr>
          <w:trHeight w:val="42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0B9" w:rsidRPr="00481EF1" w:rsidRDefault="003E20B9" w:rsidP="003E20B9"/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>верхний предел долга по муниципальным гарантиям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3E20B9">
        <w:trPr>
          <w:trHeight w:val="571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 xml:space="preserve">Верхний предел муниципального внутреннего долга на 1 января 2022 года по долговым обязательствам сельского поселения,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3E20B9">
        <w:trPr>
          <w:trHeight w:val="44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0B9" w:rsidRPr="00481EF1" w:rsidRDefault="003E20B9" w:rsidP="003E20B9"/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>верхний предел долга по муниципальным гарантиям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F91113">
        <w:trPr>
          <w:trHeight w:val="593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center"/>
            </w:pPr>
            <w:r w:rsidRPr="00481EF1">
              <w:t>3)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 xml:space="preserve">Верхний предел муниципального внутреннего долга на 1 января 2023 года по долговым обязательствам сельского поселения,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3E20B9">
        <w:trPr>
          <w:trHeight w:val="33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20B9" w:rsidRPr="00481EF1" w:rsidRDefault="003E20B9" w:rsidP="003E20B9"/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>верхний предел долга по муниципальным гарантиям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88058E">
        <w:trPr>
          <w:trHeight w:val="33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center"/>
            </w:pPr>
            <w:r w:rsidRPr="00481EF1">
              <w:t>23.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pPr>
              <w:rPr>
                <w:sz w:val="22"/>
                <w:szCs w:val="22"/>
              </w:rPr>
            </w:pPr>
            <w:r w:rsidRPr="00481EF1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center"/>
            </w:pPr>
            <w:r w:rsidRPr="00481EF1">
              <w:t>1)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 xml:space="preserve">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center"/>
            </w:pPr>
            <w:r w:rsidRPr="00481EF1">
              <w:t>2)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  <w:tr w:rsidR="003E20B9" w:rsidRPr="00481EF1" w:rsidTr="00481EF1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center"/>
            </w:pPr>
            <w:r w:rsidRPr="00481EF1">
              <w:t>3)</w:t>
            </w: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B9" w:rsidRPr="00481EF1" w:rsidRDefault="003E20B9" w:rsidP="003E20B9">
            <w:r w:rsidRPr="00481EF1">
              <w:t>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B9" w:rsidRPr="00481EF1" w:rsidRDefault="003E20B9" w:rsidP="003E20B9">
            <w:pPr>
              <w:jc w:val="right"/>
            </w:pPr>
            <w:r w:rsidRPr="00481EF1">
              <w:t>0,0</w:t>
            </w:r>
          </w:p>
        </w:tc>
      </w:tr>
    </w:tbl>
    <w:p w:rsidR="00FB0B15" w:rsidRDefault="00FB0B15" w:rsidP="00FB0B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1113" w:rsidRDefault="00F91113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решение о бюджете </w:t>
      </w:r>
      <w:r w:rsidR="0028568A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>
        <w:rPr>
          <w:rFonts w:ascii="Times New Roman" w:hAnsi="Times New Roman" w:cs="Times New Roman"/>
          <w:sz w:val="28"/>
          <w:szCs w:val="28"/>
        </w:rPr>
        <w:t>по следующим</w:t>
      </w:r>
      <w:r w:rsidR="0028568A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28568A">
        <w:rPr>
          <w:rFonts w:ascii="Times New Roman" w:hAnsi="Times New Roman" w:cs="Times New Roman"/>
          <w:sz w:val="28"/>
          <w:szCs w:val="28"/>
        </w:rPr>
        <w:t>:</w:t>
      </w:r>
    </w:p>
    <w:p w:rsidR="0028568A" w:rsidRPr="00540C98" w:rsidRDefault="0028568A" w:rsidP="0028568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F91113">
        <w:rPr>
          <w:rFonts w:ascii="Times New Roman" w:hAnsi="Times New Roman" w:cs="Times New Roman"/>
          <w:b/>
          <w:sz w:val="28"/>
          <w:szCs w:val="28"/>
        </w:rPr>
        <w:t>16 743,2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91113">
        <w:rPr>
          <w:rFonts w:ascii="Times New Roman" w:hAnsi="Times New Roman" w:cs="Times New Roman"/>
          <w:b/>
          <w:sz w:val="28"/>
          <w:szCs w:val="28"/>
        </w:rPr>
        <w:t>1 324,2</w:t>
      </w:r>
      <w:r w:rsidR="008D2D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10A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8F710A" w:rsidRPr="00540C98">
        <w:rPr>
          <w:rFonts w:ascii="Times New Roman" w:hAnsi="Times New Roman" w:cs="Times New Roman"/>
          <w:sz w:val="28"/>
          <w:szCs w:val="28"/>
        </w:rPr>
        <w:t>увеличения безвозмездных поступлений</w:t>
      </w:r>
      <w:r w:rsidRPr="00540C98">
        <w:rPr>
          <w:rFonts w:ascii="Times New Roman" w:hAnsi="Times New Roman" w:cs="Times New Roman"/>
          <w:sz w:val="28"/>
          <w:szCs w:val="28"/>
        </w:rPr>
        <w:t>;</w:t>
      </w:r>
    </w:p>
    <w:p w:rsidR="0028568A" w:rsidRDefault="0028568A" w:rsidP="0028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C98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предлагается к утверждению в сумме </w:t>
      </w:r>
      <w:r w:rsidR="00F91113" w:rsidRPr="00540C98">
        <w:rPr>
          <w:rFonts w:ascii="Times New Roman" w:hAnsi="Times New Roman" w:cs="Times New Roman"/>
          <w:b/>
          <w:sz w:val="28"/>
          <w:szCs w:val="28"/>
        </w:rPr>
        <w:t>17 527,7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91113" w:rsidRPr="00540C98">
        <w:rPr>
          <w:rFonts w:ascii="Times New Roman" w:hAnsi="Times New Roman" w:cs="Times New Roman"/>
          <w:b/>
          <w:sz w:val="28"/>
          <w:szCs w:val="28"/>
        </w:rPr>
        <w:t>2 108,7</w:t>
      </w:r>
      <w:r w:rsidR="008D2D21"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10A" w:rsidRPr="00540C98">
        <w:rPr>
          <w:rFonts w:ascii="Times New Roman" w:hAnsi="Times New Roman" w:cs="Times New Roman"/>
          <w:sz w:val="28"/>
          <w:szCs w:val="28"/>
        </w:rPr>
        <w:t>, за счет</w:t>
      </w:r>
      <w:r w:rsidR="004575DD" w:rsidRPr="00540C98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сумме </w:t>
      </w:r>
      <w:r w:rsidR="00540C98">
        <w:rPr>
          <w:rFonts w:ascii="Times New Roman" w:hAnsi="Times New Roman" w:cs="Times New Roman"/>
          <w:b/>
          <w:sz w:val="28"/>
          <w:szCs w:val="28"/>
        </w:rPr>
        <w:t>1 324,2</w:t>
      </w:r>
      <w:r w:rsidR="004575DD"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0C98" w:rsidRPr="00540C98">
        <w:rPr>
          <w:rFonts w:ascii="Times New Roman" w:hAnsi="Times New Roman" w:cs="Times New Roman"/>
          <w:sz w:val="28"/>
          <w:szCs w:val="28"/>
        </w:rPr>
        <w:t xml:space="preserve"> и распределение остатков средств бюджета по состоянию на 01.01.2020 года в сумме </w:t>
      </w:r>
      <w:r w:rsidR="00540C98" w:rsidRPr="00540C98">
        <w:rPr>
          <w:rFonts w:ascii="Times New Roman" w:hAnsi="Times New Roman" w:cs="Times New Roman"/>
          <w:b/>
          <w:sz w:val="28"/>
          <w:szCs w:val="28"/>
        </w:rPr>
        <w:t>784,5</w:t>
      </w:r>
      <w:r w:rsidR="00540C98"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40C98">
        <w:rPr>
          <w:rFonts w:ascii="Times New Roman" w:hAnsi="Times New Roman" w:cs="Times New Roman"/>
          <w:sz w:val="28"/>
          <w:szCs w:val="28"/>
        </w:rPr>
        <w:t>;</w:t>
      </w:r>
    </w:p>
    <w:p w:rsidR="00540C98" w:rsidRDefault="0028568A" w:rsidP="00540C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предлагается к утверждению в сумме </w:t>
      </w:r>
      <w:r w:rsidR="00F91113">
        <w:rPr>
          <w:rFonts w:ascii="Times New Roman" w:hAnsi="Times New Roman" w:cs="Times New Roman"/>
          <w:b/>
          <w:sz w:val="28"/>
          <w:szCs w:val="28"/>
        </w:rPr>
        <w:t>784,5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A40" w:rsidRDefault="0028568A" w:rsidP="00540C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84A4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предлагается к утверждению в сумме </w:t>
      </w:r>
      <w:r w:rsidR="00411098">
        <w:rPr>
          <w:rFonts w:ascii="Times New Roman" w:hAnsi="Times New Roman" w:cs="Times New Roman"/>
          <w:b/>
          <w:sz w:val="28"/>
          <w:szCs w:val="28"/>
        </w:rPr>
        <w:t>15 949,5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11098">
        <w:rPr>
          <w:rFonts w:ascii="Times New Roman" w:hAnsi="Times New Roman" w:cs="Times New Roman"/>
          <w:b/>
          <w:sz w:val="28"/>
          <w:szCs w:val="28"/>
        </w:rPr>
        <w:t>1 718,8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6238" w:rsidRDefault="00984A40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529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529A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F6238" w:rsidRPr="00540C98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540C9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11098" w:rsidRPr="00540C98">
        <w:rPr>
          <w:rFonts w:ascii="Times New Roman" w:hAnsi="Times New Roman" w:cs="Times New Roman"/>
          <w:b/>
          <w:sz w:val="28"/>
          <w:szCs w:val="28"/>
        </w:rPr>
        <w:t>4 702,6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11098" w:rsidRPr="00540C98">
        <w:rPr>
          <w:rFonts w:ascii="Times New Roman" w:hAnsi="Times New Roman" w:cs="Times New Roman"/>
          <w:b/>
          <w:sz w:val="28"/>
          <w:szCs w:val="28"/>
        </w:rPr>
        <w:t>2 083,2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10A" w:rsidRPr="00540C98">
        <w:rPr>
          <w:rFonts w:ascii="Times New Roman" w:hAnsi="Times New Roman" w:cs="Times New Roman"/>
          <w:sz w:val="28"/>
          <w:szCs w:val="28"/>
        </w:rPr>
        <w:t>, за счет</w:t>
      </w:r>
      <w:r w:rsidR="00540C98" w:rsidRPr="00540C98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сумме </w:t>
      </w:r>
      <w:r w:rsidR="00540C98" w:rsidRPr="00540C98">
        <w:rPr>
          <w:rFonts w:ascii="Times New Roman" w:hAnsi="Times New Roman" w:cs="Times New Roman"/>
          <w:b/>
          <w:sz w:val="28"/>
          <w:szCs w:val="28"/>
        </w:rPr>
        <w:t>1 298,7</w:t>
      </w:r>
      <w:r w:rsidR="00540C98" w:rsidRPr="00540C98">
        <w:rPr>
          <w:rFonts w:ascii="Times New Roman" w:hAnsi="Times New Roman" w:cs="Times New Roman"/>
          <w:sz w:val="28"/>
          <w:szCs w:val="28"/>
        </w:rPr>
        <w:t xml:space="preserve"> тыс. рублей и распределени</w:t>
      </w:r>
      <w:r w:rsidR="00A364A9">
        <w:rPr>
          <w:rFonts w:ascii="Times New Roman" w:hAnsi="Times New Roman" w:cs="Times New Roman"/>
          <w:sz w:val="28"/>
          <w:szCs w:val="28"/>
        </w:rPr>
        <w:t>я</w:t>
      </w:r>
      <w:r w:rsidR="00540C98" w:rsidRPr="00540C98">
        <w:rPr>
          <w:rFonts w:ascii="Times New Roman" w:hAnsi="Times New Roman" w:cs="Times New Roman"/>
          <w:sz w:val="28"/>
          <w:szCs w:val="28"/>
        </w:rPr>
        <w:t xml:space="preserve"> остатков средств бюджета по состоянию на 01.01.2020 года в сумме </w:t>
      </w:r>
      <w:r w:rsidR="00540C98" w:rsidRPr="00540C98">
        <w:rPr>
          <w:rFonts w:ascii="Times New Roman" w:hAnsi="Times New Roman" w:cs="Times New Roman"/>
          <w:b/>
          <w:sz w:val="28"/>
          <w:szCs w:val="28"/>
        </w:rPr>
        <w:t>784,5</w:t>
      </w:r>
      <w:r w:rsidR="00540C98"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0C98">
        <w:rPr>
          <w:rFonts w:ascii="Times New Roman" w:hAnsi="Times New Roman" w:cs="Times New Roman"/>
          <w:sz w:val="28"/>
          <w:szCs w:val="28"/>
        </w:rPr>
        <w:t>.</w:t>
      </w:r>
    </w:p>
    <w:p w:rsidR="00047457" w:rsidRDefault="00047457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предоставленным в составе годовой бюджетной отчетности за 2019 год отчетом об использовании средств муниципального дородного фонда Тумановского сельского поселения Вяземского района Смоленской области за 2019 год</w:t>
      </w:r>
      <w:r w:rsidR="005B507A">
        <w:rPr>
          <w:rFonts w:ascii="Times New Roman" w:hAnsi="Times New Roman" w:cs="Times New Roman"/>
          <w:sz w:val="28"/>
          <w:szCs w:val="28"/>
        </w:rPr>
        <w:t xml:space="preserve"> остаток дорожного фонда на конец отчетного 2019 года составил </w:t>
      </w:r>
      <w:r w:rsidR="005B507A" w:rsidRPr="005B507A">
        <w:rPr>
          <w:rFonts w:ascii="Times New Roman" w:hAnsi="Times New Roman" w:cs="Times New Roman"/>
          <w:b/>
          <w:sz w:val="28"/>
          <w:szCs w:val="28"/>
        </w:rPr>
        <w:t>138,5</w:t>
      </w:r>
      <w:r w:rsidR="005B507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507A" w:rsidRDefault="005B507A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решения предлагается распределить остатки </w:t>
      </w:r>
      <w:r w:rsidRPr="00540C9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540C98">
        <w:rPr>
          <w:rFonts w:ascii="Times New Roman" w:hAnsi="Times New Roman" w:cs="Times New Roman"/>
          <w:b/>
          <w:sz w:val="28"/>
          <w:szCs w:val="28"/>
        </w:rPr>
        <w:t>784,5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которые являются остатками дорожного фонда, что не соответствует сведениям, отраженным в отчете об использовании средств муниципального дорожного фонда за 2019 год (остаток составил </w:t>
      </w:r>
      <w:r w:rsidRPr="005B507A">
        <w:rPr>
          <w:rFonts w:ascii="Times New Roman" w:hAnsi="Times New Roman" w:cs="Times New Roman"/>
          <w:b/>
          <w:sz w:val="28"/>
          <w:szCs w:val="28"/>
        </w:rPr>
        <w:t>138,5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Отклонения составили в сумме </w:t>
      </w:r>
      <w:r w:rsidRPr="005B507A">
        <w:rPr>
          <w:rFonts w:ascii="Times New Roman" w:hAnsi="Times New Roman" w:cs="Times New Roman"/>
          <w:b/>
          <w:sz w:val="28"/>
          <w:szCs w:val="28"/>
        </w:rPr>
        <w:t>646,0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Pr="005B507A">
        <w:rPr>
          <w:rFonts w:ascii="Times New Roman" w:hAnsi="Times New Roman" w:cs="Times New Roman"/>
          <w:b/>
          <w:sz w:val="28"/>
          <w:szCs w:val="28"/>
        </w:rPr>
        <w:t>784,5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Pr="005B507A">
        <w:rPr>
          <w:rFonts w:ascii="Times New Roman" w:hAnsi="Times New Roman" w:cs="Times New Roman"/>
          <w:b/>
          <w:sz w:val="28"/>
          <w:szCs w:val="28"/>
        </w:rPr>
        <w:t>138,5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B507A" w:rsidRDefault="005B507A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обоснования увеличения средств дорожного фонда на </w:t>
      </w:r>
      <w:r w:rsidRPr="005B507A">
        <w:rPr>
          <w:rFonts w:ascii="Times New Roman" w:hAnsi="Times New Roman" w:cs="Times New Roman"/>
          <w:b/>
          <w:sz w:val="28"/>
          <w:szCs w:val="28"/>
        </w:rPr>
        <w:t>646,0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не предоставлены</w:t>
      </w:r>
      <w:r w:rsidR="00C55AF9">
        <w:rPr>
          <w:rFonts w:ascii="Times New Roman" w:hAnsi="Times New Roman" w:cs="Times New Roman"/>
          <w:sz w:val="28"/>
          <w:szCs w:val="28"/>
        </w:rPr>
        <w:t>;</w:t>
      </w:r>
    </w:p>
    <w:p w:rsidR="00984A40" w:rsidRDefault="009F6238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C98">
        <w:rPr>
          <w:rFonts w:ascii="Times New Roman" w:hAnsi="Times New Roman" w:cs="Times New Roman"/>
          <w:sz w:val="28"/>
          <w:szCs w:val="28"/>
        </w:rPr>
        <w:t xml:space="preserve">4) </w:t>
      </w:r>
      <w:r w:rsidR="00984A40" w:rsidRPr="00540C9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сельского поселения, установленных решением Совета депутатов </w:t>
      </w:r>
      <w:r w:rsidR="00CB2AAA" w:rsidRPr="00540C98">
        <w:rPr>
          <w:rFonts w:ascii="Times New Roman" w:hAnsi="Times New Roman" w:cs="Times New Roman"/>
          <w:sz w:val="28"/>
          <w:szCs w:val="28"/>
        </w:rPr>
        <w:t>Тумановского</w:t>
      </w:r>
      <w:r w:rsidR="00984A40" w:rsidRPr="00540C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11098" w:rsidRPr="00540C98">
        <w:rPr>
          <w:rFonts w:ascii="Times New Roman" w:hAnsi="Times New Roman" w:cs="Times New Roman"/>
          <w:sz w:val="28"/>
          <w:szCs w:val="28"/>
        </w:rPr>
        <w:t>11.11.2013 №26</w:t>
      </w:r>
      <w:r w:rsidR="00984A40" w:rsidRPr="00540C98">
        <w:rPr>
          <w:rFonts w:ascii="Times New Roman" w:hAnsi="Times New Roman" w:cs="Times New Roman"/>
          <w:sz w:val="28"/>
          <w:szCs w:val="28"/>
        </w:rPr>
        <w:t xml:space="preserve"> «О создании муниципального дорожного фонда </w:t>
      </w:r>
      <w:r w:rsidR="00CB2AAA" w:rsidRPr="00540C98">
        <w:rPr>
          <w:rFonts w:ascii="Times New Roman" w:hAnsi="Times New Roman" w:cs="Times New Roman"/>
          <w:sz w:val="28"/>
          <w:szCs w:val="28"/>
        </w:rPr>
        <w:t>Тумановского</w:t>
      </w:r>
      <w:r w:rsidR="00984A40" w:rsidRPr="00540C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</w:t>
      </w:r>
      <w:r w:rsidRPr="00540C98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984A40" w:rsidRPr="00540C9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11098" w:rsidRPr="00540C98">
        <w:rPr>
          <w:rFonts w:ascii="Times New Roman" w:hAnsi="Times New Roman" w:cs="Times New Roman"/>
          <w:b/>
          <w:sz w:val="28"/>
          <w:szCs w:val="28"/>
        </w:rPr>
        <w:t>3 918,1</w:t>
      </w:r>
      <w:r w:rsidR="00984A40" w:rsidRPr="00540C98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11098" w:rsidRPr="00540C98">
        <w:rPr>
          <w:rFonts w:ascii="Times New Roman" w:hAnsi="Times New Roman" w:cs="Times New Roman"/>
          <w:b/>
          <w:sz w:val="28"/>
          <w:szCs w:val="28"/>
        </w:rPr>
        <w:t xml:space="preserve">1 298,7 </w:t>
      </w:r>
      <w:r w:rsidR="00984A40" w:rsidRPr="00540C98">
        <w:rPr>
          <w:rFonts w:ascii="Times New Roman" w:hAnsi="Times New Roman" w:cs="Times New Roman"/>
          <w:sz w:val="28"/>
          <w:szCs w:val="28"/>
        </w:rPr>
        <w:t>тыс. рублей</w:t>
      </w:r>
      <w:r w:rsidR="008F710A" w:rsidRPr="00540C98">
        <w:rPr>
          <w:rFonts w:ascii="Times New Roman" w:hAnsi="Times New Roman" w:cs="Times New Roman"/>
          <w:sz w:val="28"/>
          <w:szCs w:val="28"/>
        </w:rPr>
        <w:t>, за счет безвозмездных поступлений</w:t>
      </w:r>
      <w:r w:rsidRPr="00540C98">
        <w:rPr>
          <w:rFonts w:ascii="Times New Roman" w:hAnsi="Times New Roman" w:cs="Times New Roman"/>
          <w:sz w:val="28"/>
          <w:szCs w:val="28"/>
        </w:rPr>
        <w:t>.</w:t>
      </w:r>
    </w:p>
    <w:p w:rsidR="006B090F" w:rsidRDefault="006B090F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изменения по дорожному фонду вносятся в текстовую часть решения от </w:t>
      </w:r>
      <w:r w:rsidR="008F710A">
        <w:rPr>
          <w:rFonts w:ascii="Times New Roman" w:hAnsi="Times New Roman" w:cs="Times New Roman"/>
          <w:sz w:val="28"/>
          <w:szCs w:val="28"/>
        </w:rPr>
        <w:t>20.12.2019 №41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</w:t>
      </w:r>
      <w:r w:rsidR="002E4C6C">
        <w:rPr>
          <w:rFonts w:ascii="Times New Roman" w:hAnsi="Times New Roman" w:cs="Times New Roman"/>
          <w:sz w:val="28"/>
          <w:szCs w:val="28"/>
        </w:rPr>
        <w:t>021 и 2022 годов», а именно в п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 и п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18.</w:t>
      </w:r>
    </w:p>
    <w:p w:rsidR="00DC52D2" w:rsidRDefault="00CC323E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прочих субсидий (ассигнования дорожного фонда) в бюджет сельского поселения в сумме </w:t>
      </w:r>
      <w:r w:rsidR="00DC52D2">
        <w:rPr>
          <w:rFonts w:ascii="Times New Roman" w:hAnsi="Times New Roman" w:cs="Times New Roman"/>
          <w:b/>
          <w:sz w:val="28"/>
          <w:szCs w:val="28"/>
        </w:rPr>
        <w:t>1 298,7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2D2">
        <w:rPr>
          <w:rFonts w:ascii="Times New Roman" w:hAnsi="Times New Roman" w:cs="Times New Roman"/>
          <w:sz w:val="28"/>
          <w:szCs w:val="28"/>
        </w:rPr>
        <w:t>тыс. рублей отражены:</w:t>
      </w:r>
    </w:p>
    <w:p w:rsidR="00DC52D2" w:rsidRDefault="00DC52D2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Приложении №3 к проекту решения о внесении изменений в решение о бюджете, в котором предусмотрено, что Администрация сельского поселения является главным администратором доходов бюджета поселения в 2020 году по поступлениям прочих субсидий в бюджет сельского поселения;</w:t>
      </w:r>
    </w:p>
    <w:p w:rsidR="00DC52D2" w:rsidRDefault="00DC52D2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Приложении №7 к проекту решения о внесении изменений в решение о бюджете, в котором предусмотрено поступление субсидии в сумме </w:t>
      </w:r>
      <w:r w:rsidRPr="00DC52D2">
        <w:rPr>
          <w:rFonts w:ascii="Times New Roman" w:hAnsi="Times New Roman" w:cs="Times New Roman"/>
          <w:b/>
          <w:sz w:val="28"/>
          <w:szCs w:val="28"/>
        </w:rPr>
        <w:t>1 298,7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C52D2" w:rsidRDefault="00DC52D2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Приложении №17 к проекту решения о внесении изменений в решение о бюджете, в котором предусмотрено формирование муниципального дорожного фонда сельского поселения </w:t>
      </w:r>
      <w:r w:rsidR="00861BA3">
        <w:rPr>
          <w:rFonts w:ascii="Times New Roman" w:hAnsi="Times New Roman" w:cs="Times New Roman"/>
          <w:sz w:val="28"/>
          <w:szCs w:val="28"/>
        </w:rPr>
        <w:t xml:space="preserve">по доходам, с увеличением на </w:t>
      </w:r>
      <w:r w:rsidR="00861BA3" w:rsidRPr="000F0BE9">
        <w:rPr>
          <w:rFonts w:ascii="Times New Roman" w:hAnsi="Times New Roman" w:cs="Times New Roman"/>
          <w:b/>
          <w:sz w:val="28"/>
          <w:szCs w:val="28"/>
        </w:rPr>
        <w:t>1 298,7</w:t>
      </w:r>
      <w:r w:rsidR="00861BA3">
        <w:rPr>
          <w:rFonts w:ascii="Times New Roman" w:hAnsi="Times New Roman" w:cs="Times New Roman"/>
          <w:sz w:val="28"/>
          <w:szCs w:val="28"/>
        </w:rPr>
        <w:t xml:space="preserve"> тыс. рублей, за счет поступления безвозмездных </w:t>
      </w:r>
      <w:r w:rsidR="000F0BE9">
        <w:rPr>
          <w:rFonts w:ascii="Times New Roman" w:hAnsi="Times New Roman" w:cs="Times New Roman"/>
          <w:sz w:val="28"/>
          <w:szCs w:val="28"/>
        </w:rPr>
        <w:t>поступлений;</w:t>
      </w:r>
    </w:p>
    <w:p w:rsidR="005C296A" w:rsidRDefault="009F6238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84A40">
        <w:rPr>
          <w:rFonts w:ascii="Times New Roman" w:hAnsi="Times New Roman" w:cs="Times New Roman"/>
          <w:sz w:val="28"/>
          <w:szCs w:val="28"/>
        </w:rPr>
        <w:t>) о</w:t>
      </w:r>
      <w:r w:rsidR="005C296A" w:rsidRPr="00527C94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5C296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0F0BE9">
        <w:rPr>
          <w:rFonts w:ascii="Times New Roman" w:hAnsi="Times New Roman" w:cs="Times New Roman"/>
          <w:b/>
          <w:sz w:val="28"/>
          <w:szCs w:val="28"/>
        </w:rPr>
        <w:t>1 302,5</w:t>
      </w:r>
      <w:r w:rsidR="005C296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F0BE9">
        <w:rPr>
          <w:rFonts w:ascii="Times New Roman" w:hAnsi="Times New Roman" w:cs="Times New Roman"/>
          <w:b/>
          <w:sz w:val="28"/>
          <w:szCs w:val="28"/>
        </w:rPr>
        <w:t>313,5</w:t>
      </w:r>
      <w:r w:rsidR="005C29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636F" w:rsidRDefault="00C55AF9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90636F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90636F">
        <w:rPr>
          <w:rFonts w:ascii="Times New Roman" w:hAnsi="Times New Roman" w:cs="Times New Roman"/>
          <w:sz w:val="28"/>
          <w:szCs w:val="28"/>
        </w:rPr>
        <w:t>только в показатели 2020 года по доходам и расходам, показатели 2021 и 2022 годов не изменяются.</w:t>
      </w:r>
    </w:p>
    <w:p w:rsidR="0090636F" w:rsidRDefault="0090636F" w:rsidP="00B04A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C55AF9" w:rsidRDefault="005C296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C55AF9" w:rsidRPr="00C55AF9">
        <w:rPr>
          <w:rFonts w:ascii="Times New Roman" w:hAnsi="Times New Roman" w:cs="Times New Roman"/>
          <w:b/>
          <w:sz w:val="28"/>
          <w:szCs w:val="28"/>
        </w:rPr>
        <w:t>7 897,7</w:t>
      </w:r>
      <w:r w:rsidR="001423C5" w:rsidRPr="00C5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C55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8F710A" w:rsidRPr="00C55AF9" w:rsidRDefault="008F710A" w:rsidP="008F71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AF9">
        <w:rPr>
          <w:rFonts w:eastAsiaTheme="minorHAnsi"/>
          <w:sz w:val="28"/>
          <w:szCs w:val="28"/>
          <w:lang w:eastAsia="en-US"/>
        </w:rPr>
        <w:t>Изменения в решение о бюджете планируется внести в соответствии с уведомлениями:</w:t>
      </w:r>
    </w:p>
    <w:p w:rsidR="008F710A" w:rsidRPr="00C55AF9" w:rsidRDefault="008F710A" w:rsidP="008F71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AF9">
        <w:rPr>
          <w:rFonts w:eastAsiaTheme="minorHAnsi"/>
          <w:sz w:val="28"/>
          <w:szCs w:val="28"/>
          <w:lang w:eastAsia="en-US"/>
        </w:rPr>
        <w:t xml:space="preserve">- о предоставлении субсидии на проектирование, строительство, реконструкцию, капитальный ремонт и ремонт автомобильных дорог общего пользования местного значения от 26.03.2020 №8080008/1 в сумме </w:t>
      </w:r>
      <w:r w:rsidRPr="00C55AF9">
        <w:rPr>
          <w:rFonts w:eastAsiaTheme="minorHAnsi"/>
          <w:b/>
          <w:sz w:val="28"/>
          <w:szCs w:val="28"/>
          <w:lang w:eastAsia="en-US"/>
        </w:rPr>
        <w:t>1 298,7</w:t>
      </w:r>
      <w:r w:rsidRPr="00C55AF9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8F710A" w:rsidRDefault="008F710A" w:rsidP="00C55AF9">
      <w:pPr>
        <w:ind w:firstLine="709"/>
        <w:jc w:val="both"/>
        <w:rPr>
          <w:sz w:val="28"/>
          <w:szCs w:val="28"/>
        </w:rPr>
      </w:pPr>
      <w:r w:rsidRPr="00C55AF9">
        <w:rPr>
          <w:rFonts w:eastAsiaTheme="minorHAnsi"/>
          <w:sz w:val="28"/>
          <w:szCs w:val="28"/>
          <w:lang w:eastAsia="en-US"/>
        </w:rPr>
        <w:t xml:space="preserve">- о предоставлении субвенции на осуществление первичного воинского учета на территориях, где отсутствуют военные комиссариаты от 25.06.2020 №8170161/1 в сумме </w:t>
      </w:r>
      <w:r w:rsidRPr="00C55AF9">
        <w:rPr>
          <w:rFonts w:eastAsiaTheme="minorHAnsi"/>
          <w:b/>
          <w:sz w:val="28"/>
          <w:szCs w:val="28"/>
          <w:lang w:eastAsia="en-US"/>
        </w:rPr>
        <w:t>2,7</w:t>
      </w:r>
      <w:r w:rsidR="00C55AF9" w:rsidRPr="00C55AF9">
        <w:rPr>
          <w:rFonts w:eastAsiaTheme="minorHAnsi"/>
          <w:sz w:val="28"/>
          <w:szCs w:val="28"/>
          <w:lang w:eastAsia="en-US"/>
        </w:rPr>
        <w:t xml:space="preserve"> тыс. рублей, от 13.08.2020 №8170287 в сумме </w:t>
      </w:r>
      <w:r w:rsidR="00C55AF9" w:rsidRPr="00C55AF9">
        <w:rPr>
          <w:rFonts w:eastAsiaTheme="minorHAnsi"/>
          <w:b/>
          <w:sz w:val="28"/>
          <w:szCs w:val="28"/>
          <w:lang w:eastAsia="en-US"/>
        </w:rPr>
        <w:t>22,8</w:t>
      </w:r>
      <w:r w:rsidR="00C55AF9" w:rsidRPr="00C55AF9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C55AF9">
        <w:rPr>
          <w:rFonts w:ascii="Times New Roman" w:hAnsi="Times New Roman" w:cs="Times New Roman"/>
          <w:b/>
          <w:sz w:val="28"/>
          <w:szCs w:val="28"/>
        </w:rPr>
        <w:t>8 845,5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55AF9">
        <w:rPr>
          <w:rFonts w:ascii="Times New Roman" w:hAnsi="Times New Roman" w:cs="Times New Roman"/>
          <w:b/>
          <w:sz w:val="28"/>
          <w:szCs w:val="28"/>
        </w:rPr>
        <w:t>1 324,2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тыс. рублей</w:t>
      </w:r>
      <w:r w:rsidR="00D97D65">
        <w:rPr>
          <w:rFonts w:ascii="Times New Roman" w:hAnsi="Times New Roman" w:cs="Times New Roman"/>
          <w:sz w:val="28"/>
          <w:szCs w:val="28"/>
        </w:rPr>
        <w:t>, за счет поступл</w:t>
      </w:r>
      <w:r w:rsidR="00C55AF9">
        <w:rPr>
          <w:rFonts w:ascii="Times New Roman" w:hAnsi="Times New Roman" w:cs="Times New Roman"/>
          <w:sz w:val="28"/>
          <w:szCs w:val="28"/>
        </w:rPr>
        <w:t>ения субсидий, указанных выше</w:t>
      </w:r>
      <w:r w:rsidR="001423C5">
        <w:rPr>
          <w:rFonts w:ascii="Times New Roman" w:hAnsi="Times New Roman" w:cs="Times New Roman"/>
          <w:sz w:val="28"/>
          <w:szCs w:val="28"/>
        </w:rPr>
        <w:t>.</w:t>
      </w:r>
    </w:p>
    <w:p w:rsidR="001423C5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C55AF9">
        <w:rPr>
          <w:rFonts w:ascii="Times New Roman" w:hAnsi="Times New Roman" w:cs="Times New Roman"/>
          <w:b/>
          <w:sz w:val="28"/>
          <w:szCs w:val="28"/>
        </w:rPr>
        <w:t>7 897,7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D830FE">
        <w:rPr>
          <w:rFonts w:ascii="Times New Roman" w:hAnsi="Times New Roman" w:cs="Times New Roman"/>
          <w:b/>
          <w:sz w:val="28"/>
          <w:szCs w:val="28"/>
        </w:rPr>
        <w:t>47,2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D830FE">
        <w:rPr>
          <w:rFonts w:ascii="Times New Roman" w:hAnsi="Times New Roman" w:cs="Times New Roman"/>
          <w:b/>
          <w:sz w:val="28"/>
          <w:szCs w:val="28"/>
        </w:rPr>
        <w:t>52,8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830FE">
        <w:rPr>
          <w:rFonts w:ascii="Times New Roman" w:hAnsi="Times New Roman" w:cs="Times New Roman"/>
          <w:b/>
          <w:sz w:val="28"/>
          <w:szCs w:val="28"/>
        </w:rPr>
        <w:t>8 845,5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90636F" w:rsidRDefault="00834D00" w:rsidP="00D830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E3966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 2020 </w:t>
      </w:r>
      <w:r w:rsidRPr="008E3966">
        <w:rPr>
          <w:rFonts w:ascii="Times New Roman" w:hAnsi="Times New Roman" w:cs="Times New Roman"/>
          <w:sz w:val="28"/>
          <w:szCs w:val="28"/>
        </w:rPr>
        <w:t>году представлены в таблице №2.</w:t>
      </w:r>
    </w:p>
    <w:p w:rsidR="0090636F" w:rsidRPr="0090636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134"/>
        <w:gridCol w:w="1134"/>
      </w:tblGrid>
      <w:tr w:rsidR="00976435" w:rsidRPr="00976435" w:rsidTr="00D830FE">
        <w:trPr>
          <w:trHeight w:val="8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</w:pPr>
            <w:r w:rsidRPr="00976435"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</w:pPr>
            <w:r w:rsidRPr="00976435">
              <w:t>Решение от 20.12.2019 №41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</w:pPr>
            <w:r w:rsidRPr="00976435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</w:pPr>
            <w:r w:rsidRPr="00976435">
              <w:t>Отклонения (+,-)</w:t>
            </w:r>
          </w:p>
        </w:tc>
      </w:tr>
      <w:tr w:rsidR="00976435" w:rsidRPr="00976435" w:rsidTr="00D830FE">
        <w:trPr>
          <w:trHeight w:val="15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1441,8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1441,8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35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>Налоги на товары (работы, услуги), реализуемые на территории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2619,4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2619,4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15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1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 xml:space="preserve">Налог на имущество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490,4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490,4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1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2814,0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2814,0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15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</w:rPr>
            </w:pPr>
            <w:r w:rsidRPr="00976435">
              <w:rPr>
                <w:b/>
                <w:bCs/>
              </w:rPr>
              <w:t>Итого 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7865,6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7865,6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</w:rPr>
            </w:pPr>
            <w:r w:rsidRPr="00976435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0,0</w:t>
            </w:r>
          </w:p>
        </w:tc>
      </w:tr>
      <w:tr w:rsidR="00976435" w:rsidRPr="00976435" w:rsidTr="00D830F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</w:rPr>
            </w:pPr>
            <w:r w:rsidRPr="00976435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7897,7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7897,7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0,0</w:t>
            </w:r>
          </w:p>
        </w:tc>
      </w:tr>
      <w:tr w:rsidR="00976435" w:rsidRPr="00976435" w:rsidTr="00D830FE">
        <w:trPr>
          <w:trHeight w:val="28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7215,8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7215,8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</w:tr>
      <w:tr w:rsidR="00976435" w:rsidRPr="00976435" w:rsidTr="00D830FE">
        <w:trPr>
          <w:trHeight w:val="29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 xml:space="preserve">Субвенции бюджетам сельских поселений на осуществление первичного воинского учета на </w:t>
            </w:r>
            <w:r w:rsidRPr="00976435">
              <w:lastRenderedPageBreak/>
              <w:t>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lastRenderedPageBreak/>
              <w:t>305,5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D830FE" w:rsidP="00976435">
            <w:pPr>
              <w:jc w:val="right"/>
            </w:pPr>
            <w:r>
              <w:t>+</w:t>
            </w:r>
            <w:r w:rsidR="00976435" w:rsidRPr="00976435">
              <w:t>25,5</w:t>
            </w:r>
          </w:p>
        </w:tc>
      </w:tr>
      <w:tr w:rsidR="00976435" w:rsidRPr="00976435" w:rsidTr="00D830FE">
        <w:trPr>
          <w:trHeight w:val="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r w:rsidRPr="00976435"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</w:pPr>
            <w:r w:rsidRPr="00976435">
              <w:t>1298,7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D830FE" w:rsidP="00976435">
            <w:pPr>
              <w:jc w:val="right"/>
            </w:pPr>
            <w:r>
              <w:t>+</w:t>
            </w:r>
            <w:r w:rsidR="00976435" w:rsidRPr="00976435">
              <w:t>1298,7</w:t>
            </w:r>
          </w:p>
        </w:tc>
      </w:tr>
      <w:tr w:rsidR="00976435" w:rsidRPr="00976435" w:rsidTr="00D830F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</w:rPr>
            </w:pPr>
            <w:r w:rsidRPr="00976435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7521,3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8845,5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D830FE" w:rsidP="009764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76435" w:rsidRPr="00976435">
              <w:rPr>
                <w:b/>
                <w:bCs/>
              </w:rPr>
              <w:t>1324,2</w:t>
            </w:r>
          </w:p>
        </w:tc>
      </w:tr>
      <w:tr w:rsidR="00976435" w:rsidRPr="00976435" w:rsidTr="00D830F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</w:rPr>
            </w:pPr>
            <w:r w:rsidRPr="00976435">
              <w:rPr>
                <w:b/>
                <w:bCs/>
              </w:rPr>
              <w:t>Всего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15419,0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</w:rPr>
            </w:pPr>
            <w:r w:rsidRPr="00976435">
              <w:rPr>
                <w:b/>
                <w:bCs/>
              </w:rPr>
              <w:t>16743,2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D830FE" w:rsidP="009764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976435" w:rsidRPr="00976435">
              <w:rPr>
                <w:b/>
                <w:bCs/>
              </w:rPr>
              <w:t>1324,2</w:t>
            </w:r>
          </w:p>
        </w:tc>
      </w:tr>
    </w:tbl>
    <w:p w:rsidR="0090636F" w:rsidRDefault="0090636F" w:rsidP="0050348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5C296A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F50F66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3483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B04AAF" w:rsidRPr="00A708FF">
        <w:rPr>
          <w:rFonts w:ascii="Times New Roman" w:hAnsi="Times New Roman" w:cs="Times New Roman"/>
          <w:sz w:val="28"/>
          <w:szCs w:val="28"/>
        </w:rPr>
        <w:t>на 20</w:t>
      </w:r>
      <w:r w:rsidR="00B04AAF"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>17 527,7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A061F">
        <w:rPr>
          <w:rFonts w:ascii="Times New Roman" w:hAnsi="Times New Roman" w:cs="Times New Roman"/>
          <w:b/>
          <w:sz w:val="28"/>
          <w:szCs w:val="28"/>
        </w:rPr>
        <w:t>2 108,7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636F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503483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9063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96A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t>Таблица №</w:t>
      </w:r>
      <w:r w:rsidR="0090636F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8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24"/>
        <w:gridCol w:w="708"/>
        <w:gridCol w:w="567"/>
        <w:gridCol w:w="993"/>
        <w:gridCol w:w="1134"/>
        <w:gridCol w:w="956"/>
      </w:tblGrid>
      <w:tr w:rsidR="00976435" w:rsidRPr="00976435" w:rsidTr="00976435"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Подраздел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Решение от 20.12.2019 №41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Отклонения (+,-)</w:t>
            </w:r>
          </w:p>
        </w:tc>
      </w:tr>
      <w:tr w:rsidR="00976435" w:rsidRPr="00976435" w:rsidTr="00976435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9124,1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9167,5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976435">
              <w:rPr>
                <w:b/>
                <w:bCs/>
                <w:sz w:val="22"/>
                <w:szCs w:val="22"/>
              </w:rPr>
              <w:t>43,4</w:t>
            </w:r>
          </w:p>
        </w:tc>
      </w:tr>
      <w:tr w:rsidR="00976435" w:rsidRPr="00976435" w:rsidTr="00976435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621,5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621,5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Функционирование представительных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8426,5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8229,3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-197,2</w:t>
            </w:r>
          </w:p>
        </w:tc>
      </w:tr>
      <w:tr w:rsidR="00976435" w:rsidRPr="00976435" w:rsidTr="00976435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21,3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21,9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-8,1</w:t>
            </w:r>
          </w:p>
        </w:tc>
      </w:tr>
      <w:tr w:rsidR="00976435" w:rsidRPr="00976435" w:rsidTr="00976435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AA79B0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258,</w:t>
            </w:r>
            <w:r w:rsidR="00AA79B0">
              <w:rPr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2</w:t>
            </w:r>
            <w:r w:rsidR="00AA79B0">
              <w:rPr>
                <w:sz w:val="22"/>
                <w:szCs w:val="22"/>
              </w:rPr>
              <w:t>48,6</w:t>
            </w:r>
          </w:p>
        </w:tc>
      </w:tr>
      <w:tr w:rsidR="00976435" w:rsidRPr="00976435" w:rsidTr="00976435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305,5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331,0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976435">
              <w:rPr>
                <w:b/>
                <w:bCs/>
                <w:sz w:val="22"/>
                <w:szCs w:val="22"/>
              </w:rPr>
              <w:t>25,5</w:t>
            </w:r>
          </w:p>
        </w:tc>
      </w:tr>
      <w:tr w:rsidR="00976435" w:rsidRPr="00976435" w:rsidTr="00976435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305,5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331,0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976435">
              <w:rPr>
                <w:sz w:val="22"/>
                <w:szCs w:val="22"/>
              </w:rPr>
              <w:t>25,5</w:t>
            </w:r>
          </w:p>
        </w:tc>
      </w:tr>
      <w:tr w:rsidR="00976435" w:rsidRPr="00976435" w:rsidTr="00976435">
        <w:trPr>
          <w:trHeight w:val="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15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color w:val="000000"/>
                <w:sz w:val="22"/>
                <w:szCs w:val="22"/>
              </w:rPr>
            </w:pPr>
            <w:r w:rsidRPr="00976435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50,0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2722,4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4925,6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976435">
              <w:rPr>
                <w:b/>
                <w:bCs/>
                <w:sz w:val="22"/>
                <w:szCs w:val="22"/>
              </w:rPr>
              <w:t>2203,2</w:t>
            </w:r>
          </w:p>
        </w:tc>
      </w:tr>
      <w:tr w:rsidR="00976435" w:rsidRPr="00976435" w:rsidTr="00976435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6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2619,4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4702,6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976435">
              <w:rPr>
                <w:sz w:val="22"/>
                <w:szCs w:val="22"/>
              </w:rPr>
              <w:t>2083,2</w:t>
            </w:r>
          </w:p>
        </w:tc>
      </w:tr>
      <w:tr w:rsidR="00976435" w:rsidRPr="00976435" w:rsidTr="00976435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123,0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976435">
              <w:rPr>
                <w:sz w:val="22"/>
                <w:szCs w:val="22"/>
              </w:rPr>
              <w:t>120,0</w:t>
            </w:r>
          </w:p>
        </w:tc>
      </w:tr>
      <w:tr w:rsidR="00976435" w:rsidRPr="00976435" w:rsidTr="00976435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3022,0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2835,6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-186,4</w:t>
            </w:r>
          </w:p>
        </w:tc>
      </w:tr>
      <w:tr w:rsidR="00976435" w:rsidRPr="00976435" w:rsidTr="00976435">
        <w:trPr>
          <w:trHeight w:val="10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350,0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12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1489,0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1302,6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-186,4</w:t>
            </w:r>
          </w:p>
        </w:tc>
      </w:tr>
      <w:tr w:rsidR="00976435" w:rsidRPr="00976435" w:rsidTr="00976435">
        <w:trPr>
          <w:trHeight w:val="1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1183,0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23,1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976435">
              <w:rPr>
                <w:b/>
                <w:bCs/>
                <w:sz w:val="22"/>
                <w:szCs w:val="22"/>
              </w:rPr>
              <w:t>23,1</w:t>
            </w:r>
          </w:p>
        </w:tc>
      </w:tr>
      <w:tr w:rsidR="00976435" w:rsidRPr="00976435" w:rsidTr="00976435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23,1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976435">
              <w:rPr>
                <w:sz w:val="22"/>
                <w:szCs w:val="22"/>
              </w:rPr>
              <w:t>23,1</w:t>
            </w:r>
          </w:p>
        </w:tc>
      </w:tr>
      <w:tr w:rsidR="00976435" w:rsidRPr="00976435" w:rsidTr="00976435">
        <w:trPr>
          <w:trHeight w:val="19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195,0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7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195,0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>0,0</w:t>
            </w:r>
          </w:p>
        </w:tc>
      </w:tr>
      <w:tr w:rsidR="00976435" w:rsidRPr="00976435" w:rsidTr="00976435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435" w:rsidRPr="00976435" w:rsidRDefault="00976435" w:rsidP="00976435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15419,0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AA79B0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17527,7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435" w:rsidRPr="00976435" w:rsidRDefault="00976435" w:rsidP="0097643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AA79B0">
              <w:rPr>
                <w:b/>
                <w:bCs/>
                <w:sz w:val="22"/>
                <w:szCs w:val="22"/>
              </w:rPr>
              <w:t>2108,7</w:t>
            </w:r>
          </w:p>
        </w:tc>
      </w:tr>
    </w:tbl>
    <w:p w:rsidR="0019689B" w:rsidRPr="00503483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1B283C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</w:t>
      </w:r>
      <w:r w:rsidRPr="00F50F66">
        <w:rPr>
          <w:rFonts w:ascii="Times New Roman" w:hAnsi="Times New Roman" w:cs="Times New Roman"/>
          <w:sz w:val="28"/>
          <w:szCs w:val="28"/>
        </w:rPr>
        <w:t>таблицы №</w:t>
      </w:r>
      <w:r w:rsidR="003A061F">
        <w:rPr>
          <w:rFonts w:ascii="Times New Roman" w:hAnsi="Times New Roman" w:cs="Times New Roman"/>
          <w:sz w:val="28"/>
          <w:szCs w:val="28"/>
        </w:rPr>
        <w:t>3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51390D">
        <w:rPr>
          <w:rFonts w:ascii="Times New Roman" w:hAnsi="Times New Roman" w:cs="Times New Roman"/>
          <w:sz w:val="28"/>
          <w:szCs w:val="28"/>
        </w:rPr>
        <w:t>предлагаются:</w:t>
      </w:r>
    </w:p>
    <w:p w:rsidR="0051390D" w:rsidRDefault="0051390D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>9 167,4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A061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A061F">
        <w:rPr>
          <w:rFonts w:ascii="Times New Roman" w:hAnsi="Times New Roman" w:cs="Times New Roman"/>
          <w:b/>
          <w:sz w:val="28"/>
          <w:szCs w:val="28"/>
        </w:rPr>
        <w:t>43,3</w:t>
      </w:r>
      <w:r w:rsidR="003A0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>331,0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A061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A061F">
        <w:rPr>
          <w:rFonts w:ascii="Times New Roman" w:hAnsi="Times New Roman" w:cs="Times New Roman"/>
          <w:b/>
          <w:sz w:val="28"/>
          <w:szCs w:val="28"/>
        </w:rPr>
        <w:t>25,5</w:t>
      </w:r>
      <w:r w:rsidR="003A0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в сумме </w:t>
      </w:r>
      <w:r w:rsidR="003A061F" w:rsidRPr="003A061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>4 925,6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A061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A061F">
        <w:rPr>
          <w:rFonts w:ascii="Times New Roman" w:hAnsi="Times New Roman" w:cs="Times New Roman"/>
          <w:b/>
          <w:sz w:val="28"/>
          <w:szCs w:val="28"/>
        </w:rPr>
        <w:t>2 203,2</w:t>
      </w:r>
      <w:r w:rsidR="003A0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90D" w:rsidRDefault="0051390D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«Жилищно-коммунальное хозяйство» 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>2 835,6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A061F">
        <w:rPr>
          <w:rFonts w:ascii="Times New Roman" w:hAnsi="Times New Roman" w:cs="Times New Roman"/>
          <w:sz w:val="28"/>
          <w:szCs w:val="28"/>
        </w:rPr>
        <w:t xml:space="preserve">меньшением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A061F">
        <w:rPr>
          <w:rFonts w:ascii="Times New Roman" w:hAnsi="Times New Roman" w:cs="Times New Roman"/>
          <w:b/>
          <w:sz w:val="28"/>
          <w:szCs w:val="28"/>
        </w:rPr>
        <w:t>186,4</w:t>
      </w:r>
      <w:r w:rsidR="00834D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</w:t>
      </w:r>
      <w:r w:rsidR="003A061F">
        <w:rPr>
          <w:rFonts w:ascii="Times New Roman" w:hAnsi="Times New Roman" w:cs="Times New Roman"/>
          <w:sz w:val="28"/>
          <w:szCs w:val="28"/>
        </w:rPr>
        <w:t xml:space="preserve">не планировались, предлагаются к утверждению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>23,1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4D00" w:rsidRDefault="00834D00" w:rsidP="00834D0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3A061F">
        <w:rPr>
          <w:rFonts w:ascii="Times New Roman" w:hAnsi="Times New Roman" w:cs="Times New Roman"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>195,0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44384B">
        <w:rPr>
          <w:rFonts w:ascii="Times New Roman" w:hAnsi="Times New Roman" w:cs="Times New Roman"/>
          <w:sz w:val="28"/>
          <w:szCs w:val="28"/>
        </w:rPr>
        <w:t>.</w:t>
      </w:r>
    </w:p>
    <w:p w:rsidR="00834D00" w:rsidRDefault="00834D00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AC5" w:rsidRDefault="005C296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AA4AC5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527C9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A061F">
        <w:rPr>
          <w:rFonts w:ascii="Times New Roman" w:hAnsi="Times New Roman" w:cs="Times New Roman"/>
          <w:b/>
          <w:sz w:val="28"/>
          <w:szCs w:val="28"/>
        </w:rPr>
        <w:t xml:space="preserve">15 949,5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3A061F">
        <w:rPr>
          <w:rFonts w:ascii="Times New Roman" w:hAnsi="Times New Roman" w:cs="Times New Roman"/>
          <w:b/>
          <w:sz w:val="28"/>
          <w:szCs w:val="28"/>
        </w:rPr>
        <w:t>1 718,8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AA4A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FE2BD6" w:rsidRDefault="00801D0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>Р</w:t>
      </w:r>
      <w:r w:rsidR="00FC6AC7" w:rsidRPr="005E31E6">
        <w:rPr>
          <w:rFonts w:ascii="Times New Roman" w:hAnsi="Times New Roman" w:cs="Times New Roman"/>
          <w:color w:val="0A0A0A"/>
          <w:sz w:val="28"/>
          <w:szCs w:val="28"/>
        </w:rPr>
        <w:t>е</w:t>
      </w:r>
      <w:r w:rsidR="002E4C6C">
        <w:rPr>
          <w:rFonts w:ascii="Times New Roman" w:hAnsi="Times New Roman" w:cs="Times New Roman"/>
          <w:color w:val="0A0A0A"/>
          <w:sz w:val="28"/>
          <w:szCs w:val="28"/>
        </w:rPr>
        <w:t>ше</w:t>
      </w:r>
      <w:r w:rsidR="00FC6AC7" w:rsidRPr="005E31E6">
        <w:rPr>
          <w:rFonts w:ascii="Times New Roman" w:hAnsi="Times New Roman" w:cs="Times New Roman"/>
          <w:color w:val="0A0A0A"/>
          <w:sz w:val="28"/>
          <w:szCs w:val="28"/>
        </w:rPr>
        <w:t>нием о бюджете н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а 20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>20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год утверждено финансирование 1</w:t>
      </w:r>
      <w:r w:rsidR="003A061F">
        <w:rPr>
          <w:rFonts w:ascii="Times New Roman" w:hAnsi="Times New Roman" w:cs="Times New Roman"/>
          <w:color w:val="0A0A0A"/>
          <w:sz w:val="28"/>
          <w:szCs w:val="28"/>
        </w:rPr>
        <w:t>0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в сумме </w:t>
      </w:r>
      <w:r w:rsidR="003A061F">
        <w:rPr>
          <w:rFonts w:ascii="Times New Roman" w:hAnsi="Times New Roman" w:cs="Times New Roman"/>
          <w:b/>
          <w:color w:val="0A0A0A"/>
          <w:sz w:val="28"/>
          <w:szCs w:val="28"/>
        </w:rPr>
        <w:t>14 230,7</w:t>
      </w:r>
      <w:r w:rsidR="005E31E6" w:rsidRPr="005E31E6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>тыс. рублей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. Проектом решения планируется изменить объем финансирования </w:t>
      </w:r>
      <w:r w:rsidR="003A061F">
        <w:rPr>
          <w:rFonts w:ascii="Times New Roman" w:hAnsi="Times New Roman" w:cs="Times New Roman"/>
          <w:color w:val="0A0A0A"/>
          <w:sz w:val="28"/>
          <w:szCs w:val="28"/>
        </w:rPr>
        <w:t>четырех</w:t>
      </w:r>
      <w:r w:rsidR="00FE2BD6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 w:rsidR="00AA4AC5" w:rsidRPr="005E31E6">
        <w:rPr>
          <w:rFonts w:ascii="Times New Roman" w:hAnsi="Times New Roman" w:cs="Times New Roman"/>
          <w:color w:val="0A0A0A"/>
          <w:sz w:val="28"/>
          <w:szCs w:val="28"/>
        </w:rPr>
        <w:t>ых</w:t>
      </w:r>
      <w:r w:rsidR="00195DF7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программ, с </w:t>
      </w:r>
      <w:r w:rsidR="00C25973" w:rsidRPr="005E31E6">
        <w:rPr>
          <w:rFonts w:ascii="Times New Roman" w:hAnsi="Times New Roman" w:cs="Times New Roman"/>
          <w:color w:val="0A0A0A"/>
          <w:sz w:val="28"/>
          <w:szCs w:val="28"/>
        </w:rPr>
        <w:t>увеличением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на </w:t>
      </w:r>
      <w:r w:rsidR="003A06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1 718,8</w:t>
      </w:r>
      <w:r w:rsidR="00AA4AC5" w:rsidRPr="005E3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061F">
        <w:rPr>
          <w:rFonts w:ascii="Times New Roman" w:hAnsi="Times New Roman" w:cs="Times New Roman"/>
          <w:color w:val="0A0A0A"/>
          <w:sz w:val="28"/>
          <w:szCs w:val="28"/>
        </w:rPr>
        <w:t>тыс. рублей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47298C" w:rsidRDefault="0047298C" w:rsidP="004729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6038F7">
        <w:rPr>
          <w:rFonts w:ascii="Times New Roman" w:hAnsi="Times New Roman" w:cs="Times New Roman"/>
          <w:sz w:val="28"/>
          <w:szCs w:val="28"/>
        </w:rPr>
        <w:t>4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47298C" w:rsidRPr="0047298C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298C">
        <w:rPr>
          <w:rFonts w:ascii="Times New Roman" w:hAnsi="Times New Roman" w:cs="Times New Roman"/>
          <w:sz w:val="24"/>
          <w:szCs w:val="24"/>
        </w:rPr>
        <w:t>Таблица №</w:t>
      </w:r>
      <w:r w:rsidR="006038F7">
        <w:rPr>
          <w:rFonts w:ascii="Times New Roman" w:hAnsi="Times New Roman" w:cs="Times New Roman"/>
          <w:sz w:val="24"/>
          <w:szCs w:val="24"/>
        </w:rPr>
        <w:t>4</w:t>
      </w:r>
      <w:r w:rsidR="00291DC7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40"/>
        <w:gridCol w:w="5734"/>
        <w:gridCol w:w="1134"/>
        <w:gridCol w:w="992"/>
        <w:gridCol w:w="1276"/>
      </w:tblGrid>
      <w:tr w:rsidR="000B0EE4" w:rsidRPr="000B0EE4" w:rsidTr="000B0EE4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sz w:val="20"/>
                <w:szCs w:val="20"/>
              </w:rPr>
            </w:pPr>
            <w:r w:rsidRPr="000B0EE4">
              <w:rPr>
                <w:sz w:val="20"/>
                <w:szCs w:val="20"/>
              </w:rPr>
              <w:t>Решение от 20.12.2019 №41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sz w:val="20"/>
                <w:szCs w:val="20"/>
              </w:rPr>
            </w:pPr>
            <w:r w:rsidRPr="000B0EE4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sz w:val="20"/>
                <w:szCs w:val="20"/>
              </w:rPr>
            </w:pPr>
            <w:r w:rsidRPr="000B0EE4">
              <w:rPr>
                <w:sz w:val="20"/>
                <w:szCs w:val="20"/>
              </w:rPr>
              <w:t>Отклонения (+,-)</w:t>
            </w:r>
          </w:p>
        </w:tc>
      </w:tr>
      <w:tr w:rsidR="000B0EE4" w:rsidRPr="000B0EE4" w:rsidTr="000B0EE4">
        <w:trPr>
          <w:trHeight w:val="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8435,3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8242,3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-193,0</w:t>
            </w:r>
          </w:p>
        </w:tc>
      </w:tr>
      <w:tr w:rsidR="000B0EE4" w:rsidRPr="000B0EE4" w:rsidTr="000B0EE4">
        <w:trPr>
          <w:trHeight w:val="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8426,5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8229,3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-197,2</w:t>
            </w:r>
          </w:p>
        </w:tc>
      </w:tr>
      <w:tr w:rsidR="000B0EE4" w:rsidRPr="000B0EE4" w:rsidTr="000B0EE4">
        <w:trPr>
          <w:trHeight w:val="1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0B0EE4" w:rsidRPr="000B0EE4" w:rsidTr="000B0EE4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2619,4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4702,6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b/>
                <w:bCs/>
                <w:color w:val="000000"/>
                <w:sz w:val="20"/>
                <w:szCs w:val="20"/>
              </w:rPr>
              <w:t>2083,2</w:t>
            </w:r>
          </w:p>
        </w:tc>
      </w:tr>
      <w:tr w:rsidR="000B0EE4" w:rsidRPr="000B0EE4" w:rsidTr="000B0EE4">
        <w:trPr>
          <w:trHeight w:val="17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содержание улично-дорожной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-51,4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проведение ремонта улично-дорожной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2094,2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color w:val="000000"/>
                <w:sz w:val="20"/>
                <w:szCs w:val="20"/>
              </w:rPr>
              <w:t>784,5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Услуги по техническому обслуживанию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color w:val="000000"/>
                <w:sz w:val="20"/>
                <w:szCs w:val="20"/>
              </w:rPr>
              <w:t>1300,0</w:t>
            </w:r>
          </w:p>
        </w:tc>
      </w:tr>
      <w:tr w:rsidR="000B0EE4" w:rsidRPr="000B0EE4" w:rsidTr="000B0EE4">
        <w:trPr>
          <w:trHeight w:val="2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Газификация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802,6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-186,4</w:t>
            </w:r>
          </w:p>
        </w:tc>
      </w:tr>
      <w:tr w:rsidR="000B0EE4" w:rsidRPr="000B0EE4" w:rsidTr="000B0EE4">
        <w:trPr>
          <w:trHeight w:val="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изготовление проектной документации по газификации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802,6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-186,4</w:t>
            </w:r>
          </w:p>
        </w:tc>
      </w:tr>
      <w:tr w:rsidR="000B0EE4" w:rsidRPr="000B0EE4" w:rsidTr="000B0EE4">
        <w:trPr>
          <w:trHeight w:val="3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1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оплату ежемесячных взносов на капитальный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проведение прочих мероприятий по жилищному хозяйству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развитие систем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</w:tr>
      <w:tr w:rsidR="000B0EE4" w:rsidRPr="000B0EE4" w:rsidTr="000B0EE4">
        <w:trPr>
          <w:trHeight w:val="1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содержание воинских захоронений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0B0EE4" w:rsidRPr="000B0EE4" w:rsidTr="000B0EE4">
        <w:trPr>
          <w:trHeight w:val="3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уборку территории, вывоз мусора и прочие 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1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 xml:space="preserve">Расходы по содействию занятости безработного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4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профилактику экстремизма и терроризма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1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благоустройство дворовых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благоустройство муниципальных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14230,7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15949,5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b/>
                <w:bCs/>
                <w:color w:val="000000"/>
                <w:sz w:val="20"/>
                <w:szCs w:val="20"/>
              </w:rPr>
              <w:t>1718,8</w:t>
            </w:r>
          </w:p>
        </w:tc>
      </w:tr>
      <w:tr w:rsidR="000B0EE4" w:rsidRPr="000B0EE4" w:rsidTr="000B0EE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0EE4" w:rsidRPr="000B0EE4" w:rsidTr="000B0EE4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2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Резервный фонд Администрации Тумановского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0EE4"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2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color w:val="000000"/>
                <w:sz w:val="20"/>
                <w:szCs w:val="20"/>
              </w:rPr>
              <w:t>25,5</w:t>
            </w:r>
          </w:p>
        </w:tc>
      </w:tr>
      <w:tr w:rsidR="000B0EE4" w:rsidRPr="000B0EE4" w:rsidTr="000B0EE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по оформлению технической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0B0EE4" w:rsidRPr="000B0EE4" w:rsidTr="000B0EE4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D830FE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D830FE">
              <w:rPr>
                <w:color w:val="000000"/>
                <w:sz w:val="20"/>
                <w:szCs w:val="20"/>
              </w:rPr>
              <w:t>198,9</w:t>
            </w:r>
          </w:p>
        </w:tc>
      </w:tr>
      <w:tr w:rsidR="000B0EE4" w:rsidRPr="000B0EE4" w:rsidTr="000B0EE4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Расходы на выполнение кадастровых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1188,3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D830FE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A776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0B0EE4" w:rsidRPr="000B0EE4"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A776CB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0B0EE4" w:rsidRPr="000B0EE4">
              <w:rPr>
                <w:b/>
                <w:bCs/>
                <w:color w:val="000000"/>
                <w:sz w:val="20"/>
                <w:szCs w:val="20"/>
              </w:rPr>
              <w:t>,9</w:t>
            </w:r>
          </w:p>
        </w:tc>
      </w:tr>
      <w:tr w:rsidR="000B0EE4" w:rsidRPr="000B0EE4" w:rsidTr="000B0EE4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0B0EE4" w:rsidRDefault="000B0EE4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0B0EE4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15419,0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D830FE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0B0EE4" w:rsidRDefault="00AD530D" w:rsidP="000B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A776CB">
              <w:rPr>
                <w:b/>
                <w:bCs/>
                <w:color w:val="000000"/>
                <w:sz w:val="20"/>
                <w:szCs w:val="20"/>
              </w:rPr>
              <w:t>2108,7</w:t>
            </w:r>
          </w:p>
        </w:tc>
      </w:tr>
    </w:tbl>
    <w:p w:rsidR="000B0EE4" w:rsidRDefault="000B0EE4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8CB" w:rsidRPr="005E31E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1058CB" w:rsidRPr="005E31E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D530D" w:rsidRPr="00AD530D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AD530D">
        <w:rPr>
          <w:rFonts w:ascii="Times New Roman" w:hAnsi="Times New Roman" w:cs="Times New Roman"/>
          <w:b/>
          <w:sz w:val="28"/>
          <w:szCs w:val="28"/>
        </w:rPr>
        <w:t>8 242,3</w:t>
      </w:r>
      <w:r w:rsidR="005E31E6">
        <w:rPr>
          <w:rFonts w:ascii="Times New Roman" w:hAnsi="Times New Roman" w:cs="Times New Roman"/>
          <w:sz w:val="28"/>
          <w:szCs w:val="28"/>
        </w:rPr>
        <w:t xml:space="preserve"> </w:t>
      </w:r>
      <w:r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 w:rsidR="005E31E6">
        <w:rPr>
          <w:rFonts w:ascii="Times New Roman" w:hAnsi="Times New Roman" w:cs="Times New Roman"/>
          <w:sz w:val="28"/>
          <w:szCs w:val="28"/>
        </w:rPr>
        <w:t>меньшением</w:t>
      </w:r>
      <w:r w:rsidRPr="005E31E6">
        <w:rPr>
          <w:rFonts w:ascii="Times New Roman" w:hAnsi="Times New Roman" w:cs="Times New Roman"/>
          <w:sz w:val="28"/>
          <w:szCs w:val="28"/>
        </w:rPr>
        <w:t xml:space="preserve"> на </w:t>
      </w:r>
      <w:r w:rsidR="00AD530D">
        <w:rPr>
          <w:rFonts w:ascii="Times New Roman" w:hAnsi="Times New Roman" w:cs="Times New Roman"/>
          <w:b/>
          <w:sz w:val="28"/>
          <w:szCs w:val="28"/>
        </w:rPr>
        <w:t>193,0</w:t>
      </w:r>
      <w:r w:rsidR="00AD53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E31E6">
        <w:rPr>
          <w:rFonts w:ascii="Times New Roman" w:hAnsi="Times New Roman" w:cs="Times New Roman"/>
          <w:sz w:val="28"/>
          <w:szCs w:val="28"/>
        </w:rPr>
        <w:t>;</w:t>
      </w:r>
    </w:p>
    <w:p w:rsidR="008E49C1" w:rsidRDefault="001058CB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D530D" w:rsidRPr="00AD530D">
        <w:rPr>
          <w:rFonts w:ascii="Times New Roman" w:hAnsi="Times New Roman" w:cs="Times New Roman"/>
          <w:bCs/>
          <w:color w:val="000000"/>
          <w:sz w:val="28"/>
          <w:szCs w:val="28"/>
        </w:rPr>
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AD530D">
        <w:rPr>
          <w:rFonts w:ascii="Times New Roman" w:hAnsi="Times New Roman" w:cs="Times New Roman"/>
          <w:b/>
          <w:sz w:val="28"/>
          <w:szCs w:val="28"/>
        </w:rPr>
        <w:t>4 702,6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E49C1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AD530D">
        <w:rPr>
          <w:rFonts w:ascii="Times New Roman" w:hAnsi="Times New Roman" w:cs="Times New Roman"/>
          <w:b/>
          <w:sz w:val="28"/>
          <w:szCs w:val="28"/>
        </w:rPr>
        <w:t>2 083,2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530D">
        <w:rPr>
          <w:rFonts w:ascii="Times New Roman" w:hAnsi="Times New Roman" w:cs="Times New Roman"/>
          <w:sz w:val="28"/>
          <w:szCs w:val="28"/>
        </w:rPr>
        <w:t>;</w:t>
      </w:r>
    </w:p>
    <w:p w:rsidR="00AD530D" w:rsidRDefault="00AD530D" w:rsidP="00AD53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D530D">
        <w:rPr>
          <w:rFonts w:ascii="Times New Roman" w:hAnsi="Times New Roman" w:cs="Times New Roman"/>
          <w:bCs/>
          <w:color w:val="000000"/>
          <w:sz w:val="28"/>
          <w:szCs w:val="28"/>
        </w:rPr>
        <w:t>Газификация Тумановского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802,6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E49C1">
        <w:rPr>
          <w:rFonts w:ascii="Times New Roman" w:hAnsi="Times New Roman" w:cs="Times New Roman"/>
          <w:sz w:val="28"/>
          <w:szCs w:val="28"/>
        </w:rPr>
        <w:t>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8E49C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186,4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530D" w:rsidRPr="008E49C1" w:rsidRDefault="00AD530D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D5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Благоустройство территории Тумановского сельского поселения Вяземского </w:t>
      </w:r>
      <w:r w:rsidRPr="00AD530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1 285,0 </w:t>
      </w:r>
      <w:r w:rsidRPr="002B347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E49C1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15,0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9C1" w:rsidRPr="008E49C1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C1">
        <w:rPr>
          <w:rFonts w:ascii="Times New Roman" w:hAnsi="Times New Roman" w:cs="Times New Roman"/>
          <w:sz w:val="28"/>
          <w:szCs w:val="28"/>
        </w:rPr>
        <w:t xml:space="preserve">Программные расходы планируется утвердить в сумме </w:t>
      </w:r>
      <w:r w:rsidR="00AD530D">
        <w:rPr>
          <w:rFonts w:ascii="Times New Roman" w:hAnsi="Times New Roman" w:cs="Times New Roman"/>
          <w:b/>
          <w:sz w:val="28"/>
          <w:szCs w:val="28"/>
        </w:rPr>
        <w:t>15 949,5</w:t>
      </w:r>
      <w:r w:rsidRPr="008E49C1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 w:rsidR="00AD530D">
        <w:rPr>
          <w:rFonts w:ascii="Times New Roman" w:hAnsi="Times New Roman" w:cs="Times New Roman"/>
          <w:b/>
          <w:sz w:val="28"/>
          <w:szCs w:val="28"/>
        </w:rPr>
        <w:t>91,0</w:t>
      </w:r>
      <w:r w:rsidRPr="008E49C1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8E49C1" w:rsidRDefault="008E49C1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460" w:rsidRDefault="005C296A" w:rsidP="009A6460">
      <w:pPr>
        <w:ind w:firstLine="708"/>
        <w:jc w:val="both"/>
        <w:rPr>
          <w:sz w:val="28"/>
          <w:szCs w:val="28"/>
        </w:rPr>
      </w:pPr>
      <w:r w:rsidRPr="005C296A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A6460" w:rsidRPr="005D3B01">
        <w:rPr>
          <w:sz w:val="28"/>
          <w:szCs w:val="28"/>
        </w:rPr>
        <w:t xml:space="preserve">Непрограммные расходы планируется утвердить в сумме </w:t>
      </w:r>
      <w:r w:rsidR="00AD530D">
        <w:rPr>
          <w:b/>
          <w:sz w:val="28"/>
          <w:szCs w:val="28"/>
        </w:rPr>
        <w:t>1 578,2</w:t>
      </w:r>
      <w:r w:rsidR="009A6460" w:rsidRPr="005D3B01">
        <w:rPr>
          <w:sz w:val="28"/>
          <w:szCs w:val="28"/>
        </w:rPr>
        <w:t xml:space="preserve"> тыс. рублей</w:t>
      </w:r>
      <w:r w:rsidR="009A6460">
        <w:rPr>
          <w:sz w:val="28"/>
          <w:szCs w:val="28"/>
        </w:rPr>
        <w:t xml:space="preserve">, </w:t>
      </w:r>
      <w:r w:rsidR="00AD530D">
        <w:rPr>
          <w:sz w:val="28"/>
          <w:szCs w:val="28"/>
        </w:rPr>
        <w:t xml:space="preserve">с увеличением на </w:t>
      </w:r>
      <w:r w:rsidR="00AD530D" w:rsidRPr="00AD530D">
        <w:rPr>
          <w:b/>
          <w:sz w:val="28"/>
          <w:szCs w:val="28"/>
        </w:rPr>
        <w:t>389,9</w:t>
      </w:r>
      <w:r w:rsidR="00AD530D">
        <w:rPr>
          <w:sz w:val="28"/>
          <w:szCs w:val="28"/>
        </w:rPr>
        <w:t xml:space="preserve"> тыс. рублей</w:t>
      </w:r>
      <w:r w:rsidR="005E4587">
        <w:rPr>
          <w:sz w:val="28"/>
          <w:szCs w:val="28"/>
        </w:rPr>
        <w:t xml:space="preserve">, </w:t>
      </w:r>
      <w:r w:rsidR="009A6460">
        <w:rPr>
          <w:sz w:val="28"/>
          <w:szCs w:val="28"/>
        </w:rPr>
        <w:t xml:space="preserve">что составит </w:t>
      </w:r>
      <w:r w:rsidR="00AD530D">
        <w:rPr>
          <w:b/>
          <w:sz w:val="28"/>
          <w:szCs w:val="28"/>
        </w:rPr>
        <w:t>9,0</w:t>
      </w:r>
      <w:r w:rsidR="009A6460" w:rsidRPr="005D3B01">
        <w:rPr>
          <w:sz w:val="28"/>
          <w:szCs w:val="28"/>
        </w:rPr>
        <w:t>% в общей структуре расходов бюджета поселения</w:t>
      </w:r>
      <w:r w:rsidR="00524D3A">
        <w:rPr>
          <w:sz w:val="28"/>
          <w:szCs w:val="28"/>
        </w:rPr>
        <w:t>, а именно:</w:t>
      </w:r>
    </w:p>
    <w:p w:rsidR="00524D3A" w:rsidRDefault="00524D3A" w:rsidP="00524D3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увеличения расходов на осуществление первичного воинского учета на территориях, где отсутствуют военные комиссариаты на </w:t>
      </w:r>
      <w:r w:rsidRPr="00524D3A">
        <w:rPr>
          <w:b/>
          <w:color w:val="000000"/>
          <w:sz w:val="28"/>
          <w:szCs w:val="28"/>
        </w:rPr>
        <w:t>25,5</w:t>
      </w:r>
      <w:r>
        <w:rPr>
          <w:color w:val="000000"/>
          <w:sz w:val="28"/>
          <w:szCs w:val="28"/>
        </w:rPr>
        <w:t xml:space="preserve"> тыс. рублей;</w:t>
      </w:r>
    </w:p>
    <w:p w:rsidR="00524D3A" w:rsidRDefault="00524D3A" w:rsidP="00524D3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расходов по оформлению технической документации в сумме </w:t>
      </w:r>
      <w:r>
        <w:rPr>
          <w:b/>
          <w:color w:val="000000"/>
          <w:sz w:val="28"/>
          <w:szCs w:val="28"/>
        </w:rPr>
        <w:t>45,5</w:t>
      </w:r>
      <w:r>
        <w:rPr>
          <w:color w:val="000000"/>
          <w:sz w:val="28"/>
          <w:szCs w:val="28"/>
        </w:rPr>
        <w:t xml:space="preserve"> тыс. рублей;</w:t>
      </w:r>
    </w:p>
    <w:p w:rsidR="00524D3A" w:rsidRDefault="00524D3A" w:rsidP="00524D3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расходов на исполнение судебных актов в сумме </w:t>
      </w:r>
      <w:r w:rsidRPr="00524D3A">
        <w:rPr>
          <w:b/>
          <w:color w:val="000000"/>
          <w:sz w:val="28"/>
          <w:szCs w:val="28"/>
        </w:rPr>
        <w:t>198,9</w:t>
      </w:r>
      <w:r>
        <w:rPr>
          <w:color w:val="000000"/>
          <w:sz w:val="28"/>
          <w:szCs w:val="28"/>
        </w:rPr>
        <w:t xml:space="preserve"> тыс. рублей;</w:t>
      </w:r>
    </w:p>
    <w:p w:rsidR="00524D3A" w:rsidRDefault="00524D3A" w:rsidP="00524D3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расходов на выполнение кадастровых работ в сумме </w:t>
      </w:r>
      <w:r w:rsidRPr="00424939">
        <w:rPr>
          <w:b/>
          <w:color w:val="000000"/>
          <w:sz w:val="28"/>
          <w:szCs w:val="28"/>
        </w:rPr>
        <w:t>120,0</w:t>
      </w:r>
      <w:r>
        <w:rPr>
          <w:color w:val="000000"/>
          <w:sz w:val="28"/>
          <w:szCs w:val="28"/>
        </w:rPr>
        <w:t xml:space="preserve"> тыс. рублей.</w:t>
      </w:r>
    </w:p>
    <w:p w:rsidR="00524D3A" w:rsidRDefault="00524D3A" w:rsidP="00524D3A">
      <w:pPr>
        <w:ind w:firstLine="708"/>
        <w:jc w:val="both"/>
        <w:rPr>
          <w:color w:val="000000"/>
          <w:sz w:val="28"/>
          <w:szCs w:val="28"/>
        </w:rPr>
      </w:pPr>
    </w:p>
    <w:p w:rsidR="00044803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4F2D8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D530D">
        <w:rPr>
          <w:rFonts w:ascii="Times New Roman" w:hAnsi="Times New Roman" w:cs="Times New Roman"/>
          <w:b/>
          <w:sz w:val="28"/>
          <w:szCs w:val="28"/>
        </w:rPr>
        <w:t>784,5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AD530D">
        <w:rPr>
          <w:rFonts w:ascii="Times New Roman" w:hAnsi="Times New Roman" w:cs="Times New Roman"/>
          <w:b/>
          <w:sz w:val="28"/>
          <w:szCs w:val="28"/>
        </w:rPr>
        <w:t>16 743,2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AD530D">
        <w:rPr>
          <w:rFonts w:ascii="Times New Roman" w:hAnsi="Times New Roman" w:cs="Times New Roman"/>
          <w:b/>
          <w:sz w:val="28"/>
          <w:szCs w:val="28"/>
        </w:rPr>
        <w:t>17 527,7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5DF7">
        <w:rPr>
          <w:rFonts w:ascii="Times New Roman" w:hAnsi="Times New Roman" w:cs="Times New Roman"/>
          <w:sz w:val="28"/>
          <w:szCs w:val="28"/>
        </w:rPr>
        <w:t>.</w:t>
      </w: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0C8" w:rsidRDefault="005B20C8" w:rsidP="00536E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012AD">
        <w:rPr>
          <w:b/>
          <w:sz w:val="28"/>
          <w:szCs w:val="28"/>
        </w:rPr>
        <w:t>Выводы: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524D3A">
        <w:rPr>
          <w:rFonts w:ascii="Times New Roman" w:hAnsi="Times New Roman" w:cs="Times New Roman"/>
          <w:b/>
          <w:sz w:val="28"/>
          <w:szCs w:val="28"/>
        </w:rPr>
        <w:t>16 743,2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24D3A">
        <w:rPr>
          <w:rFonts w:ascii="Times New Roman" w:hAnsi="Times New Roman" w:cs="Times New Roman"/>
          <w:b/>
          <w:sz w:val="28"/>
          <w:szCs w:val="28"/>
        </w:rPr>
        <w:t>1 324,2</w:t>
      </w:r>
      <w:r w:rsidR="00524D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Собственные доходы предлагаются к утверждению в сумме </w:t>
      </w:r>
      <w:r w:rsidR="00524D3A">
        <w:rPr>
          <w:rFonts w:ascii="Times New Roman" w:hAnsi="Times New Roman" w:cs="Times New Roman"/>
          <w:b/>
          <w:sz w:val="28"/>
          <w:szCs w:val="28"/>
        </w:rPr>
        <w:t>7 897,7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 w:rsidR="00524D3A">
        <w:rPr>
          <w:rFonts w:ascii="Times New Roman" w:hAnsi="Times New Roman" w:cs="Times New Roman"/>
          <w:b/>
          <w:sz w:val="28"/>
          <w:szCs w:val="28"/>
        </w:rPr>
        <w:t>47,2</w:t>
      </w:r>
      <w:r>
        <w:rPr>
          <w:rFonts w:ascii="Times New Roman" w:hAnsi="Times New Roman" w:cs="Times New Roman"/>
          <w:sz w:val="28"/>
          <w:szCs w:val="28"/>
        </w:rPr>
        <w:t>% в общем объеме доходов.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524D3A">
        <w:rPr>
          <w:rFonts w:ascii="Times New Roman" w:hAnsi="Times New Roman" w:cs="Times New Roman"/>
          <w:b/>
          <w:sz w:val="28"/>
          <w:szCs w:val="28"/>
        </w:rPr>
        <w:t>8 845,5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E2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524D3A">
        <w:rPr>
          <w:rFonts w:ascii="Times New Roman" w:hAnsi="Times New Roman" w:cs="Times New Roman"/>
          <w:b/>
          <w:sz w:val="28"/>
          <w:szCs w:val="28"/>
        </w:rPr>
        <w:t>52,8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2E4C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общем объеме доходов.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24D3A">
        <w:rPr>
          <w:rFonts w:ascii="Times New Roman" w:hAnsi="Times New Roman" w:cs="Times New Roman"/>
          <w:b/>
          <w:sz w:val="28"/>
          <w:szCs w:val="28"/>
        </w:rPr>
        <w:t>17 527,7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24D3A">
        <w:rPr>
          <w:rFonts w:ascii="Times New Roman" w:hAnsi="Times New Roman" w:cs="Times New Roman"/>
          <w:b/>
          <w:sz w:val="28"/>
          <w:szCs w:val="28"/>
        </w:rPr>
        <w:t>2 108,7</w:t>
      </w:r>
      <w:r w:rsidR="00524D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Дефицит бюджета предлагается к утверждению в сумме </w:t>
      </w:r>
      <w:r w:rsidR="00524D3A">
        <w:rPr>
          <w:rFonts w:ascii="Times New Roman" w:hAnsi="Times New Roman" w:cs="Times New Roman"/>
          <w:b/>
          <w:sz w:val="28"/>
          <w:szCs w:val="28"/>
        </w:rPr>
        <w:t>784,5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2FDE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Объем бюджетных ассигнований на финансовое обеспечение реализации муниципальных программ предлагается к утверждению в сумме </w:t>
      </w:r>
      <w:r w:rsidR="00524D3A">
        <w:rPr>
          <w:rFonts w:ascii="Times New Roman" w:hAnsi="Times New Roman" w:cs="Times New Roman"/>
          <w:b/>
          <w:sz w:val="28"/>
          <w:szCs w:val="28"/>
        </w:rPr>
        <w:t>15 949,5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24D3A">
        <w:rPr>
          <w:rFonts w:ascii="Times New Roman" w:hAnsi="Times New Roman" w:cs="Times New Roman"/>
          <w:b/>
          <w:sz w:val="28"/>
          <w:szCs w:val="28"/>
        </w:rPr>
        <w:t>1 718,8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24D3A">
        <w:rPr>
          <w:rFonts w:ascii="Times New Roman" w:hAnsi="Times New Roman" w:cs="Times New Roman"/>
          <w:sz w:val="28"/>
          <w:szCs w:val="28"/>
        </w:rPr>
        <w:t>.</w:t>
      </w:r>
    </w:p>
    <w:p w:rsidR="00A82FDE" w:rsidRPr="00B8508D" w:rsidRDefault="00524D3A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2FDE" w:rsidRPr="00B8508D">
        <w:rPr>
          <w:rFonts w:ascii="Times New Roman" w:hAnsi="Times New Roman" w:cs="Times New Roman"/>
          <w:sz w:val="28"/>
          <w:szCs w:val="28"/>
        </w:rPr>
        <w:t xml:space="preserve">. Программные расходы планируется утвердить в сумме </w:t>
      </w:r>
      <w:r w:rsidR="00F57EA8">
        <w:rPr>
          <w:rFonts w:ascii="Times New Roman" w:hAnsi="Times New Roman" w:cs="Times New Roman"/>
          <w:b/>
          <w:sz w:val="28"/>
          <w:szCs w:val="28"/>
        </w:rPr>
        <w:t>15 949,5</w:t>
      </w:r>
      <w:r w:rsidR="00A82FDE" w:rsidRPr="00B8508D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 w:rsidR="00F57EA8">
        <w:rPr>
          <w:rFonts w:ascii="Times New Roman" w:hAnsi="Times New Roman" w:cs="Times New Roman"/>
          <w:b/>
          <w:sz w:val="28"/>
          <w:szCs w:val="28"/>
        </w:rPr>
        <w:t>91,0</w:t>
      </w:r>
      <w:r w:rsidR="00A82FDE" w:rsidRPr="00B8508D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124ADD" w:rsidRDefault="00124ADD" w:rsidP="00124A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82FDE" w:rsidRPr="00B8508D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</w:t>
      </w:r>
      <w:r w:rsidR="00F57EA8">
        <w:rPr>
          <w:rFonts w:ascii="Times New Roman" w:hAnsi="Times New Roman" w:cs="Times New Roman"/>
          <w:b/>
          <w:sz w:val="28"/>
          <w:szCs w:val="28"/>
        </w:rPr>
        <w:t>1 578,2</w:t>
      </w:r>
      <w:r w:rsidR="00A82FDE" w:rsidRPr="00B8508D">
        <w:rPr>
          <w:rFonts w:ascii="Times New Roman" w:hAnsi="Times New Roman" w:cs="Times New Roman"/>
          <w:sz w:val="28"/>
          <w:szCs w:val="28"/>
        </w:rPr>
        <w:t xml:space="preserve"> тыс. рублей, без изменений, что составит </w:t>
      </w:r>
      <w:r w:rsidR="00F57EA8">
        <w:rPr>
          <w:rFonts w:ascii="Times New Roman" w:hAnsi="Times New Roman" w:cs="Times New Roman"/>
          <w:b/>
          <w:sz w:val="28"/>
          <w:szCs w:val="28"/>
        </w:rPr>
        <w:t>9,0</w:t>
      </w:r>
      <w:r w:rsidR="00A82FDE" w:rsidRPr="00B8508D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124ADD" w:rsidRDefault="00124ADD" w:rsidP="00124A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В п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 текстовой части решения Совета депутатов Тумановского сельского поселения Вяземского района Смоленской области от 20.12.2019 №41 «О бюджете Тумановского сельского поселения Вяземского района Смоленской области на 2020 год и плановый период 2021 и 2022 годов» делается ссылка на решение Совета депутатов Тумановского сельского поселения от 11.11.2013 №26 «Об утверждении порядка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области».</w:t>
      </w:r>
    </w:p>
    <w:p w:rsidR="00124ADD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Решением Совета депутатов Тумановского сельского поселения Вяземского района Смоленской области от 24.04.2019 №10 утверждено новое Положение о порядке формирования и использования  </w:t>
      </w:r>
      <w:r>
        <w:rPr>
          <w:sz w:val="28"/>
          <w:szCs w:val="28"/>
        </w:rPr>
        <w:t xml:space="preserve"> бюджетных ассигнований муниципального дорожного фонда Тумановского сельского </w:t>
      </w:r>
      <w:r w:rsidRPr="00C76420">
        <w:rPr>
          <w:sz w:val="28"/>
          <w:szCs w:val="28"/>
        </w:rPr>
        <w:t>поселения Вязем</w:t>
      </w:r>
      <w:r>
        <w:rPr>
          <w:sz w:val="28"/>
          <w:szCs w:val="28"/>
        </w:rPr>
        <w:t xml:space="preserve">ского района Смоленской области, требования которого использовались </w:t>
      </w:r>
      <w:r w:rsidRPr="00C76420">
        <w:rPr>
          <w:rFonts w:eastAsiaTheme="minorHAnsi"/>
          <w:sz w:val="28"/>
          <w:szCs w:val="28"/>
          <w:lang w:eastAsia="en-US"/>
        </w:rPr>
        <w:t xml:space="preserve">при формировании и </w:t>
      </w:r>
      <w:r>
        <w:rPr>
          <w:rFonts w:eastAsiaTheme="minorHAnsi"/>
          <w:sz w:val="28"/>
          <w:szCs w:val="28"/>
          <w:lang w:eastAsia="en-US"/>
        </w:rPr>
        <w:t>исполнении</w:t>
      </w:r>
      <w:r w:rsidRPr="00C76420">
        <w:rPr>
          <w:rFonts w:eastAsiaTheme="minorHAnsi"/>
          <w:sz w:val="28"/>
          <w:szCs w:val="28"/>
          <w:lang w:eastAsia="en-US"/>
        </w:rPr>
        <w:t xml:space="preserve"> муниципального дорожного фонда </w:t>
      </w:r>
      <w:r>
        <w:rPr>
          <w:rFonts w:eastAsiaTheme="minorHAnsi"/>
          <w:sz w:val="28"/>
          <w:szCs w:val="28"/>
          <w:lang w:eastAsia="en-US"/>
        </w:rPr>
        <w:t>в 2020 году.</w:t>
      </w:r>
    </w:p>
    <w:p w:rsidR="00124ADD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Следовательно, решениями Совета депутатов Тумановского сельского поселения от 11.11.2013 №26 и от 24.04.2019 №10 утверждены два Порядка формирования и использования бюджетных ассигнований муниципального дорожного фонда Тумановского сельского поселения.</w:t>
      </w:r>
    </w:p>
    <w:p w:rsidR="00124ADD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В нарушение п.5 ст.179.4 БК РФ в </w:t>
      </w:r>
      <w:r w:rsidR="00191AA9">
        <w:rPr>
          <w:rFonts w:eastAsiaTheme="minorHAnsi"/>
          <w:sz w:val="28"/>
          <w:szCs w:val="28"/>
          <w:lang w:eastAsia="en-US"/>
        </w:rPr>
        <w:t>п.</w:t>
      </w:r>
      <w:r>
        <w:rPr>
          <w:rFonts w:eastAsiaTheme="minorHAnsi"/>
          <w:sz w:val="28"/>
          <w:szCs w:val="28"/>
          <w:lang w:eastAsia="en-US"/>
        </w:rPr>
        <w:t>3 решения от 24.04.2019 №10 определено: «Решение Совета депутатов Тумановского сельского поселения Вяземского района Смоленской области от 31.03.2017 №12 «О создании муниципального дорожного фонда Тумановского сельского поселения Вяземского района Смоленской области» считать утратившим силу».</w:t>
      </w:r>
    </w:p>
    <w:p w:rsidR="00124ADD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 вышеизложенного следует, что п.3 решения от 24.04.2019 №10 отменяет создание муниципального дорожного фонда, что противоречит п.5 ст.179.4 БК РФ. Фактически муниципальный дорожный фонд Тумановского сельского поселения Вяземского района Смоленской области сформирован на 2020 год и плановый период 2021 и 2022 годов. </w:t>
      </w:r>
    </w:p>
    <w:p w:rsidR="00124ADD" w:rsidRPr="00191AA9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Проектом решения «О внесении изменений в решение от 20.12.2019 №41 «О бюджете Тумановского сельского поселения Вяземского районам Смоленской области на 2020 год и плановый период 2021 и 2022 годов» планируется подпункты 1, 3, 5 п.22 текстовой части решения о бюджете исключить. Данные поправки обусловлены внесенными изменениями в ст.107 </w:t>
      </w:r>
      <w:r w:rsidRPr="00191AA9">
        <w:rPr>
          <w:rFonts w:eastAsiaTheme="minorHAnsi"/>
          <w:sz w:val="28"/>
          <w:szCs w:val="28"/>
          <w:lang w:eastAsia="en-US"/>
        </w:rPr>
        <w:t>Бюджетног</w:t>
      </w:r>
      <w:r w:rsidR="00191AA9" w:rsidRPr="00191AA9">
        <w:rPr>
          <w:rFonts w:eastAsiaTheme="minorHAnsi"/>
          <w:sz w:val="28"/>
          <w:szCs w:val="28"/>
          <w:lang w:eastAsia="en-US"/>
        </w:rPr>
        <w:t>о кодекса Российской Федерации.</w:t>
      </w:r>
    </w:p>
    <w:p w:rsidR="00191AA9" w:rsidRDefault="00191AA9" w:rsidP="00191A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</w:t>
      </w:r>
      <w:r w:rsidRPr="00191AA9">
        <w:rPr>
          <w:rFonts w:ascii="Times New Roman" w:hAnsi="Times New Roman" w:cs="Times New Roman"/>
          <w:sz w:val="28"/>
          <w:szCs w:val="28"/>
        </w:rPr>
        <w:t>редлагае</w:t>
      </w:r>
      <w:r>
        <w:rPr>
          <w:rFonts w:ascii="Times New Roman" w:hAnsi="Times New Roman" w:cs="Times New Roman"/>
          <w:sz w:val="28"/>
          <w:szCs w:val="28"/>
        </w:rPr>
        <w:t xml:space="preserve">мый к распределению остаток </w:t>
      </w:r>
      <w:r w:rsidRPr="00540C98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91AA9">
        <w:rPr>
          <w:rFonts w:ascii="Times New Roman" w:hAnsi="Times New Roman" w:cs="Times New Roman"/>
          <w:sz w:val="28"/>
          <w:szCs w:val="28"/>
        </w:rPr>
        <w:t>дорожного фонда сельского поселения</w:t>
      </w:r>
      <w:r w:rsidRPr="00540C9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40C98">
        <w:rPr>
          <w:rFonts w:ascii="Times New Roman" w:hAnsi="Times New Roman" w:cs="Times New Roman"/>
          <w:b/>
          <w:sz w:val="28"/>
          <w:szCs w:val="28"/>
        </w:rPr>
        <w:t>784,5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сведениям, отраженным в отчете об использовании средств муниципального дорожного фонда за 2019 год (остаток составил </w:t>
      </w:r>
      <w:r w:rsidRPr="005B507A">
        <w:rPr>
          <w:rFonts w:ascii="Times New Roman" w:hAnsi="Times New Roman" w:cs="Times New Roman"/>
          <w:b/>
          <w:sz w:val="28"/>
          <w:szCs w:val="28"/>
        </w:rPr>
        <w:t>138,5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Отклонения составили в сумме </w:t>
      </w:r>
      <w:r w:rsidRPr="005B507A">
        <w:rPr>
          <w:rFonts w:ascii="Times New Roman" w:hAnsi="Times New Roman" w:cs="Times New Roman"/>
          <w:b/>
          <w:sz w:val="28"/>
          <w:szCs w:val="28"/>
        </w:rPr>
        <w:t>646,0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Pr="005B507A">
        <w:rPr>
          <w:rFonts w:ascii="Times New Roman" w:hAnsi="Times New Roman" w:cs="Times New Roman"/>
          <w:b/>
          <w:sz w:val="28"/>
          <w:szCs w:val="28"/>
        </w:rPr>
        <w:t>784,5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Pr="005B507A">
        <w:rPr>
          <w:rFonts w:ascii="Times New Roman" w:hAnsi="Times New Roman" w:cs="Times New Roman"/>
          <w:b/>
          <w:sz w:val="28"/>
          <w:szCs w:val="28"/>
        </w:rPr>
        <w:t>138,5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124ADD" w:rsidRDefault="00191AA9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обоснования увеличения средств дорожного фонда на </w:t>
      </w:r>
      <w:r w:rsidRPr="005B507A">
        <w:rPr>
          <w:rFonts w:ascii="Times New Roman" w:hAnsi="Times New Roman" w:cs="Times New Roman"/>
          <w:b/>
          <w:sz w:val="28"/>
          <w:szCs w:val="28"/>
        </w:rPr>
        <w:t>646,0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не предоставлены.</w:t>
      </w:r>
    </w:p>
    <w:p w:rsidR="00191AA9" w:rsidRDefault="00191AA9" w:rsidP="00A82F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C75198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3C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AF66D9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A82FDE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5B20C8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C25973" w:rsidRPr="00AF66D9">
        <w:rPr>
          <w:rFonts w:ascii="Times New Roman" w:hAnsi="Times New Roman" w:cs="Times New Roman"/>
          <w:sz w:val="28"/>
          <w:szCs w:val="28"/>
        </w:rPr>
        <w:t>Смоленской области документы и материалы</w:t>
      </w:r>
      <w:r w:rsidR="00B35FAA" w:rsidRPr="00AF66D9">
        <w:rPr>
          <w:rFonts w:ascii="Times New Roman" w:hAnsi="Times New Roman" w:cs="Times New Roman"/>
          <w:sz w:val="28"/>
          <w:szCs w:val="28"/>
        </w:rPr>
        <w:t>,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E0603C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0603C" w:rsidRDefault="00E0603C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5C296A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24ADD">
        <w:rPr>
          <w:rFonts w:ascii="Times New Roman" w:hAnsi="Times New Roman" w:cs="Times New Roman"/>
          <w:sz w:val="28"/>
          <w:szCs w:val="28"/>
        </w:rPr>
        <w:t>20.12.2019 №41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B2AAA">
        <w:rPr>
          <w:rFonts w:ascii="Times New Roman" w:hAnsi="Times New Roman" w:cs="Times New Roman"/>
          <w:sz w:val="28"/>
          <w:szCs w:val="28"/>
        </w:rPr>
        <w:t>Тумановского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AF66D9" w:rsidRPr="00E0603C">
        <w:rPr>
          <w:rFonts w:ascii="Times New Roman" w:hAnsi="Times New Roman" w:cs="Times New Roman"/>
          <w:sz w:val="28"/>
          <w:szCs w:val="28"/>
        </w:rPr>
        <w:t>области на 2020 год и плановый период 2021 и 2022 год</w:t>
      </w:r>
      <w:r w:rsidR="00A82FDE">
        <w:rPr>
          <w:rFonts w:ascii="Times New Roman" w:hAnsi="Times New Roman" w:cs="Times New Roman"/>
          <w:sz w:val="28"/>
          <w:szCs w:val="28"/>
        </w:rPr>
        <w:t>ов</w:t>
      </w:r>
      <w:r w:rsidR="00AF66D9" w:rsidRPr="00E0603C">
        <w:rPr>
          <w:rFonts w:ascii="Times New Roman" w:hAnsi="Times New Roman" w:cs="Times New Roman"/>
          <w:sz w:val="28"/>
          <w:szCs w:val="28"/>
        </w:rPr>
        <w:t>»</w:t>
      </w:r>
      <w:r w:rsidR="00124ADD">
        <w:rPr>
          <w:rFonts w:ascii="Times New Roman" w:hAnsi="Times New Roman" w:cs="Times New Roman"/>
          <w:sz w:val="28"/>
          <w:szCs w:val="28"/>
        </w:rPr>
        <w:t>.</w:t>
      </w:r>
    </w:p>
    <w:p w:rsidR="00124ADD" w:rsidRDefault="00124ADD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ADD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внести изменения в п.18  решения Совета депутатов Тумановского сельского поселения Вяземского района Смоленской области от 20.12.2019 №41 изложив его в следующей редакции: «Утвердить прогнозируемый объем доходов бюджета поселения в части доходов, установленных решением Совета депутатов Тумановского сельского поселения от 24.04.2019 №10 «Об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области»;</w:t>
      </w:r>
    </w:p>
    <w:p w:rsidR="00124ADD" w:rsidRPr="00424939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4939">
        <w:rPr>
          <w:rFonts w:eastAsiaTheme="minorHAnsi"/>
          <w:sz w:val="28"/>
          <w:szCs w:val="28"/>
          <w:lang w:eastAsia="en-US"/>
        </w:rPr>
        <w:t>- внести изменения в п.3 решения Совета депутатов Тумановского сельского поселения Вяземского района Смоленской области от 24.04.2019 №10 признав решение Совета депутатов Тумановского сельского поселения Вяземского района Смоленской области от 31.03.2017 №12 «О создании муниципального дорожного фонда Тумановского сельского поселения Вяземского района См</w:t>
      </w:r>
      <w:r w:rsidR="00191AA9" w:rsidRPr="00424939">
        <w:rPr>
          <w:rFonts w:eastAsiaTheme="minorHAnsi"/>
          <w:sz w:val="28"/>
          <w:szCs w:val="28"/>
          <w:lang w:eastAsia="en-US"/>
        </w:rPr>
        <w:t>оленской области» - действующим;</w:t>
      </w:r>
    </w:p>
    <w:p w:rsidR="00424939" w:rsidRDefault="00191AA9" w:rsidP="004249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39"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r w:rsidR="00424939" w:rsidRPr="00424939">
        <w:rPr>
          <w:rFonts w:ascii="Times New Roman" w:hAnsi="Times New Roman" w:cs="Times New Roman"/>
          <w:sz w:val="28"/>
          <w:szCs w:val="28"/>
        </w:rPr>
        <w:t>пояснения о</w:t>
      </w:r>
      <w:r w:rsidR="00424939">
        <w:rPr>
          <w:rFonts w:ascii="Times New Roman" w:hAnsi="Times New Roman" w:cs="Times New Roman"/>
          <w:sz w:val="28"/>
          <w:szCs w:val="28"/>
        </w:rPr>
        <w:t xml:space="preserve">б увеличении средств дорожного фонда </w:t>
      </w:r>
      <w:r w:rsidR="00424939" w:rsidRPr="00424939">
        <w:rPr>
          <w:rFonts w:ascii="Times New Roman" w:hAnsi="Times New Roman" w:cs="Times New Roman"/>
          <w:sz w:val="28"/>
          <w:szCs w:val="28"/>
        </w:rPr>
        <w:t>на</w:t>
      </w:r>
      <w:r w:rsidR="00424939">
        <w:rPr>
          <w:rFonts w:ascii="Times New Roman" w:hAnsi="Times New Roman" w:cs="Times New Roman"/>
          <w:sz w:val="28"/>
          <w:szCs w:val="28"/>
        </w:rPr>
        <w:t xml:space="preserve"> </w:t>
      </w:r>
      <w:r w:rsidR="00424939" w:rsidRPr="00424939">
        <w:rPr>
          <w:rFonts w:ascii="Times New Roman" w:hAnsi="Times New Roman" w:cs="Times New Roman"/>
          <w:b/>
          <w:sz w:val="28"/>
          <w:szCs w:val="28"/>
        </w:rPr>
        <w:t>646,0</w:t>
      </w:r>
      <w:r w:rsidR="00424939" w:rsidRPr="004249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24939">
        <w:rPr>
          <w:rFonts w:ascii="Times New Roman" w:hAnsi="Times New Roman" w:cs="Times New Roman"/>
          <w:sz w:val="28"/>
          <w:szCs w:val="28"/>
        </w:rPr>
        <w:t>, по состоянию на 01.01.2020 года.</w:t>
      </w:r>
    </w:p>
    <w:p w:rsidR="00424939" w:rsidRDefault="00424939" w:rsidP="004249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AA9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4ADD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6D9" w:rsidRPr="00AF66D9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AF66D9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AF66D9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AF66D9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к</w:t>
      </w:r>
      <w:r w:rsidR="00C031D8" w:rsidRPr="00AF66D9">
        <w:rPr>
          <w:rFonts w:ascii="Times New Roman" w:hAnsi="Times New Roman" w:cs="Times New Roman"/>
          <w:sz w:val="28"/>
          <w:szCs w:val="28"/>
        </w:rPr>
        <w:t>омис</w:t>
      </w:r>
      <w:r w:rsidR="00956922" w:rsidRPr="00AF66D9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423C5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«</w:t>
      </w:r>
      <w:r w:rsidR="00C031D8" w:rsidRPr="00AF66D9">
        <w:rPr>
          <w:rFonts w:ascii="Times New Roman" w:hAnsi="Times New Roman" w:cs="Times New Roman"/>
          <w:sz w:val="28"/>
          <w:szCs w:val="28"/>
        </w:rPr>
        <w:t>Вяземский район</w:t>
      </w:r>
      <w:r w:rsidRPr="00AF66D9">
        <w:rPr>
          <w:rFonts w:ascii="Times New Roman" w:hAnsi="Times New Roman" w:cs="Times New Roman"/>
          <w:sz w:val="28"/>
          <w:szCs w:val="28"/>
        </w:rPr>
        <w:t>»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AF66D9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670BDA">
        <w:rPr>
          <w:rFonts w:ascii="Times New Roman" w:hAnsi="Times New Roman" w:cs="Times New Roman"/>
          <w:sz w:val="28"/>
          <w:szCs w:val="28"/>
        </w:rPr>
        <w:t xml:space="preserve">  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      </w:t>
      </w:r>
      <w:r w:rsidR="002B549E" w:rsidRPr="00AF66D9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DC6167">
      <w:footerReference w:type="default" r:id="rId8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5B" w:rsidRDefault="00447E5B" w:rsidP="00482AB3">
      <w:r>
        <w:separator/>
      </w:r>
    </w:p>
  </w:endnote>
  <w:endnote w:type="continuationSeparator" w:id="0">
    <w:p w:rsidR="00447E5B" w:rsidRDefault="00447E5B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EndPr/>
    <w:sdtContent>
      <w:p w:rsidR="00191AA9" w:rsidRDefault="00191AA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0E">
          <w:rPr>
            <w:noProof/>
          </w:rPr>
          <w:t>6</w:t>
        </w:r>
        <w:r>
          <w:fldChar w:fldCharType="end"/>
        </w:r>
      </w:p>
    </w:sdtContent>
  </w:sdt>
  <w:p w:rsidR="00191AA9" w:rsidRDefault="00191A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5B" w:rsidRDefault="00447E5B" w:rsidP="00482AB3">
      <w:r>
        <w:separator/>
      </w:r>
    </w:p>
  </w:footnote>
  <w:footnote w:type="continuationSeparator" w:id="0">
    <w:p w:rsidR="00447E5B" w:rsidRDefault="00447E5B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952FA"/>
    <w:rsid w:val="000A11B3"/>
    <w:rsid w:val="000A13E2"/>
    <w:rsid w:val="000A170A"/>
    <w:rsid w:val="000A35B4"/>
    <w:rsid w:val="000A535D"/>
    <w:rsid w:val="000A5398"/>
    <w:rsid w:val="000B0EE4"/>
    <w:rsid w:val="000B12E6"/>
    <w:rsid w:val="000B35A4"/>
    <w:rsid w:val="000B4E2D"/>
    <w:rsid w:val="000C441B"/>
    <w:rsid w:val="000C5316"/>
    <w:rsid w:val="000C63E0"/>
    <w:rsid w:val="000C7874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F14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1AA9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5AC4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6F34"/>
    <w:rsid w:val="003603CB"/>
    <w:rsid w:val="003633C7"/>
    <w:rsid w:val="0036523D"/>
    <w:rsid w:val="003675F4"/>
    <w:rsid w:val="00374B3E"/>
    <w:rsid w:val="00375B07"/>
    <w:rsid w:val="00375C38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061F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109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4D3A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E42"/>
    <w:rsid w:val="00540C84"/>
    <w:rsid w:val="00540C98"/>
    <w:rsid w:val="00542E17"/>
    <w:rsid w:val="0054380B"/>
    <w:rsid w:val="0054383D"/>
    <w:rsid w:val="00543F4B"/>
    <w:rsid w:val="00544F1D"/>
    <w:rsid w:val="00545F4A"/>
    <w:rsid w:val="00546ABA"/>
    <w:rsid w:val="00547CA4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FEA"/>
    <w:rsid w:val="00780438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1BA3"/>
    <w:rsid w:val="00866920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2D21"/>
    <w:rsid w:val="008D55C8"/>
    <w:rsid w:val="008D6C55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7DA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413"/>
    <w:rsid w:val="00B45E7D"/>
    <w:rsid w:val="00B50771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5212"/>
    <w:rsid w:val="00D152D9"/>
    <w:rsid w:val="00D2020C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30FE"/>
    <w:rsid w:val="00D84A41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650B"/>
    <w:rsid w:val="00D9676D"/>
    <w:rsid w:val="00D97D65"/>
    <w:rsid w:val="00DA2F89"/>
    <w:rsid w:val="00DA3CD4"/>
    <w:rsid w:val="00DA50F2"/>
    <w:rsid w:val="00DA6BF1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502B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2552-0A5A-4BAC-9BFB-A87CAC6F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6682</TotalTime>
  <Pages>14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174</cp:revision>
  <cp:lastPrinted>2020-08-24T07:54:00Z</cp:lastPrinted>
  <dcterms:created xsi:type="dcterms:W3CDTF">2018-03-23T05:37:00Z</dcterms:created>
  <dcterms:modified xsi:type="dcterms:W3CDTF">2020-08-24T07:58:00Z</dcterms:modified>
</cp:coreProperties>
</file>