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D907AD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D907AD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907AD">
        <w:rPr>
          <w:rFonts w:ascii="Times New Roman" w:hAnsi="Times New Roman" w:cs="Times New Roman"/>
          <w:b/>
          <w:sz w:val="28"/>
          <w:szCs w:val="28"/>
        </w:rPr>
        <w:t>28.12.2020 №27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D907AD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A2F19">
        <w:rPr>
          <w:rFonts w:ascii="Times New Roman" w:hAnsi="Times New Roman" w:cs="Times New Roman"/>
          <w:sz w:val="28"/>
          <w:szCs w:val="28"/>
        </w:rPr>
        <w:t>2</w:t>
      </w:r>
      <w:r w:rsidR="00D907AD">
        <w:rPr>
          <w:rFonts w:ascii="Times New Roman" w:hAnsi="Times New Roman" w:cs="Times New Roman"/>
          <w:sz w:val="28"/>
          <w:szCs w:val="28"/>
        </w:rPr>
        <w:t>9</w:t>
      </w:r>
      <w:r w:rsidR="004849D6" w:rsidRPr="00DC21C0">
        <w:rPr>
          <w:rFonts w:ascii="Times New Roman" w:hAnsi="Times New Roman" w:cs="Times New Roman"/>
          <w:sz w:val="28"/>
          <w:szCs w:val="28"/>
        </w:rPr>
        <w:t>.0</w:t>
      </w:r>
      <w:r w:rsidR="00201F9A">
        <w:rPr>
          <w:rFonts w:ascii="Times New Roman" w:hAnsi="Times New Roman" w:cs="Times New Roman"/>
          <w:sz w:val="28"/>
          <w:szCs w:val="28"/>
        </w:rPr>
        <w:t>9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1A5254" w:rsidRPr="00DC21C0">
        <w:rPr>
          <w:rFonts w:ascii="Times New Roman" w:hAnsi="Times New Roman" w:cs="Times New Roman"/>
          <w:sz w:val="28"/>
          <w:szCs w:val="28"/>
        </w:rPr>
        <w:t>1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CE2050" w:rsidRDefault="002E1F24" w:rsidP="00CE2050">
      <w:pPr>
        <w:ind w:firstLine="709"/>
        <w:jc w:val="both"/>
        <w:rPr>
          <w:sz w:val="28"/>
          <w:szCs w:val="28"/>
        </w:rPr>
      </w:pPr>
      <w:r w:rsidRPr="00CE2050">
        <w:rPr>
          <w:sz w:val="28"/>
          <w:szCs w:val="28"/>
        </w:rPr>
        <w:t xml:space="preserve">Основание проведения экспертно-аналитического мероприятия: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D907AD">
        <w:rPr>
          <w:sz w:val="28"/>
          <w:szCs w:val="28"/>
        </w:rPr>
        <w:t>Тумановского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31.05.2012 №</w:t>
      </w:r>
      <w:r w:rsidR="00D907AD">
        <w:rPr>
          <w:sz w:val="28"/>
          <w:szCs w:val="28"/>
        </w:rPr>
        <w:t>18</w:t>
      </w:r>
      <w:r w:rsidR="00CE2050">
        <w:rPr>
          <w:sz w:val="28"/>
          <w:szCs w:val="28"/>
        </w:rPr>
        <w:t xml:space="preserve"> </w:t>
      </w:r>
      <w:r w:rsidR="009936E6" w:rsidRPr="00CE2050">
        <w:rPr>
          <w:sz w:val="28"/>
          <w:szCs w:val="28"/>
        </w:rPr>
        <w:t>(пункт 1.2),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1D547E">
        <w:rPr>
          <w:sz w:val="28"/>
          <w:szCs w:val="28"/>
        </w:rPr>
        <w:t>»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D907AD">
        <w:rPr>
          <w:sz w:val="28"/>
          <w:szCs w:val="28"/>
        </w:rPr>
        <w:t>8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color w:val="000000"/>
          <w:sz w:val="28"/>
          <w:szCs w:val="28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3A70A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>-</w:t>
      </w:r>
      <w:bookmarkStart w:id="0" w:name="_Hlk74666279"/>
      <w:r w:rsidR="003A70AD">
        <w:rPr>
          <w:rFonts w:ascii="Times New Roman" w:hAnsi="Times New Roman" w:cs="Times New Roman"/>
          <w:sz w:val="28"/>
          <w:szCs w:val="28"/>
        </w:rPr>
        <w:t xml:space="preserve"> </w:t>
      </w:r>
      <w:r w:rsidR="003A70AD" w:rsidRPr="002853F4">
        <w:rPr>
          <w:rFonts w:ascii="Times New Roman" w:hAnsi="Times New Roman"/>
          <w:sz w:val="28"/>
          <w:szCs w:val="28"/>
        </w:rPr>
        <w:t xml:space="preserve">Положение о бюджетном процессе в Тумановском сельском поселении Вяземского района Смоленской области, утвержденное </w:t>
      </w:r>
      <w:r w:rsidR="003A70AD">
        <w:rPr>
          <w:rFonts w:ascii="Times New Roman" w:hAnsi="Times New Roman"/>
          <w:sz w:val="28"/>
          <w:szCs w:val="28"/>
        </w:rPr>
        <w:t>р</w:t>
      </w:r>
      <w:r w:rsidR="003A70AD" w:rsidRPr="002853F4">
        <w:rPr>
          <w:rFonts w:ascii="Times New Roman" w:hAnsi="Times New Roman"/>
          <w:sz w:val="28"/>
          <w:szCs w:val="28"/>
        </w:rPr>
        <w:t xml:space="preserve">ешением Совета депутатов Тумановского сельского поселения Вяземского района Смоленской области от 20.03.2020 №4 с изменениями от 28.10.2020 №21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A70AD">
        <w:rPr>
          <w:rFonts w:ascii="Times New Roman" w:hAnsi="Times New Roman" w:cs="Times New Roman"/>
          <w:sz w:val="28"/>
          <w:szCs w:val="28"/>
        </w:rPr>
        <w:t>28.12.2020 №27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AA2F19">
        <w:rPr>
          <w:rFonts w:ascii="Times New Roman" w:hAnsi="Times New Roman" w:cs="Times New Roman"/>
          <w:sz w:val="28"/>
          <w:szCs w:val="28"/>
        </w:rPr>
        <w:t>2</w:t>
      </w:r>
      <w:r w:rsidR="003A70AD">
        <w:rPr>
          <w:rFonts w:ascii="Times New Roman" w:hAnsi="Times New Roman" w:cs="Times New Roman"/>
          <w:sz w:val="28"/>
          <w:szCs w:val="28"/>
        </w:rPr>
        <w:t>8</w:t>
      </w:r>
      <w:r w:rsidR="00AA2F19">
        <w:rPr>
          <w:rFonts w:ascii="Times New Roman" w:hAnsi="Times New Roman" w:cs="Times New Roman"/>
          <w:sz w:val="28"/>
          <w:szCs w:val="28"/>
        </w:rPr>
        <w:t>.09.2021 №26</w:t>
      </w:r>
      <w:r w:rsidR="003A70AD">
        <w:rPr>
          <w:rFonts w:ascii="Times New Roman" w:hAnsi="Times New Roman" w:cs="Times New Roman"/>
          <w:sz w:val="28"/>
          <w:szCs w:val="28"/>
        </w:rPr>
        <w:t>5</w:t>
      </w:r>
      <w:r w:rsidR="00AA2F19">
        <w:rPr>
          <w:rFonts w:ascii="Times New Roman" w:hAnsi="Times New Roman" w:cs="Times New Roman"/>
          <w:sz w:val="28"/>
          <w:szCs w:val="28"/>
        </w:rPr>
        <w:t>С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AA2F19">
        <w:rPr>
          <w:rFonts w:ascii="Times New Roman" w:hAnsi="Times New Roman" w:cs="Times New Roman"/>
          <w:sz w:val="28"/>
          <w:szCs w:val="28"/>
        </w:rPr>
        <w:t>, в составе: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 3, 7, 9, 11, 13, 15 к проекту решения о внесении изменений в решение о бюджете;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B112C">
        <w:rPr>
          <w:rFonts w:ascii="Times New Roman" w:hAnsi="Times New Roman" w:cs="Times New Roman"/>
          <w:sz w:val="28"/>
          <w:szCs w:val="28"/>
        </w:rPr>
        <w:t>28.12.2020 №27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</w:p>
    <w:bookmarkEnd w:id="1"/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D907AD">
        <w:rPr>
          <w:rStyle w:val="ad"/>
          <w:rFonts w:ascii="Times New Roman" w:hAnsi="Times New Roman" w:cs="Times New Roman"/>
          <w:color w:val="222222"/>
          <w:sz w:val="28"/>
          <w:szCs w:val="28"/>
        </w:rPr>
        <w:t>Тумановского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D907AD">
        <w:rPr>
          <w:sz w:val="28"/>
          <w:szCs w:val="28"/>
        </w:rPr>
        <w:t>Тумановского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2B112C">
        <w:rPr>
          <w:sz w:val="28"/>
          <w:szCs w:val="28"/>
        </w:rPr>
        <w:t>28.12.2020 №27</w:t>
      </w:r>
      <w:r w:rsidR="00846086">
        <w:rPr>
          <w:sz w:val="28"/>
          <w:szCs w:val="28"/>
        </w:rPr>
        <w:t xml:space="preserve"> «О бюджете </w:t>
      </w:r>
      <w:r w:rsidR="00D907AD">
        <w:rPr>
          <w:sz w:val="28"/>
          <w:szCs w:val="28"/>
        </w:rPr>
        <w:t>Тумановского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2021 год и </w:t>
      </w:r>
      <w:r w:rsidR="00467BD2">
        <w:rPr>
          <w:sz w:val="28"/>
          <w:szCs w:val="28"/>
        </w:rPr>
        <w:t xml:space="preserve">плановый период 2022 и 2023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2B112C">
        <w:rPr>
          <w:sz w:val="28"/>
          <w:szCs w:val="28"/>
        </w:rPr>
        <w:t>28.12.2020 №27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D907AD">
        <w:rPr>
          <w:sz w:val="28"/>
          <w:szCs w:val="28"/>
        </w:rPr>
        <w:t>Тумановского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2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</w:t>
      </w:r>
      <w:r w:rsidR="00B04AAF" w:rsidRPr="00A708FF">
        <w:rPr>
          <w:sz w:val="28"/>
          <w:szCs w:val="28"/>
        </w:rPr>
        <w:lastRenderedPageBreak/>
        <w:t xml:space="preserve">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год.</w:t>
      </w:r>
      <w:r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751" w:type="dxa"/>
        <w:tblInd w:w="-885" w:type="dxa"/>
        <w:tblLook w:val="04A0" w:firstRow="1" w:lastRow="0" w:firstColumn="1" w:lastColumn="0" w:noHBand="0" w:noVBand="1"/>
      </w:tblPr>
      <w:tblGrid>
        <w:gridCol w:w="567"/>
        <w:gridCol w:w="5971"/>
        <w:gridCol w:w="1460"/>
        <w:gridCol w:w="1300"/>
        <w:gridCol w:w="1453"/>
      </w:tblGrid>
      <w:tr w:rsidR="002B112C" w:rsidRPr="002B112C" w:rsidTr="002B112C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№ пункта решения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Наименование характеристик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Решение о бюджете от 28.12.2020 №27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Отклонения (+,</w:t>
            </w:r>
            <w:r>
              <w:t xml:space="preserve"> </w:t>
            </w:r>
            <w:r w:rsidRPr="002B112C">
              <w:t>-)</w:t>
            </w:r>
          </w:p>
        </w:tc>
      </w:tr>
      <w:tr w:rsidR="002B112C" w:rsidRPr="002B112C" w:rsidTr="002B112C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2C" w:rsidRPr="002B112C" w:rsidRDefault="002B112C" w:rsidP="002B112C">
            <w:r w:rsidRPr="002B112C">
              <w:t>1.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Доходы на 2021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36786,6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37697,5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>
              <w:t>+</w:t>
            </w:r>
            <w:r w:rsidRPr="002B112C">
              <w:t>910,9</w:t>
            </w:r>
          </w:p>
        </w:tc>
      </w:tr>
      <w:tr w:rsidR="002B112C" w:rsidRPr="002B112C" w:rsidTr="002B112C">
        <w:trPr>
          <w:trHeight w:val="1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28087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28997,9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>
              <w:t>+</w:t>
            </w:r>
            <w:r w:rsidRPr="002B112C">
              <w:t>910,9</w:t>
            </w:r>
          </w:p>
        </w:tc>
      </w:tr>
      <w:tr w:rsidR="002B112C" w:rsidRPr="002B112C" w:rsidTr="002B112C">
        <w:trPr>
          <w:trHeight w:val="1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28087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28997,9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>
              <w:t>+</w:t>
            </w:r>
            <w:r w:rsidRPr="002B112C">
              <w:t>910,9</w:t>
            </w:r>
          </w:p>
        </w:tc>
      </w:tr>
      <w:tr w:rsidR="002B112C" w:rsidRPr="002B112C" w:rsidTr="002B112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Расходы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37251,8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38162,7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>
              <w:t>+</w:t>
            </w:r>
            <w:r w:rsidRPr="002B112C">
              <w:t>910,9</w:t>
            </w:r>
          </w:p>
        </w:tc>
      </w:tr>
      <w:tr w:rsidR="002B112C" w:rsidRPr="002B112C" w:rsidTr="002B112C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Дефицит (профицит)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465,2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465,2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2B112C">
              <w:t>Вяземский район</w:t>
            </w:r>
            <w:r>
              <w:t>»</w:t>
            </w:r>
            <w:r w:rsidRPr="002B112C">
              <w:t xml:space="preserve"> Смоленской области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21,8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21,8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2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Доходы на 2022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14905,4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14905,4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7081,2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7081,2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7081,2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7081,2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Доходы на 2023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11839,6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11839,6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3681,2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3681,2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3681,2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3681,2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Расходы на 2022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14905,4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14905,4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359,0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359,0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Расходы на 2023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11839,6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11839,6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580,0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580,0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Дефицит (профицит)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Дефицит (профицит)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6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4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2B112C">
              <w:t>Вяземский район</w:t>
            </w:r>
            <w:r>
              <w:t>»</w:t>
            </w:r>
            <w:r w:rsidRPr="002B112C">
              <w:t xml:space="preserve"> Смоленской области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21,8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5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2B112C">
              <w:t>Вяземский район</w:t>
            </w:r>
            <w:r>
              <w:t>»</w:t>
            </w:r>
            <w:r w:rsidRPr="002B112C">
              <w:t xml:space="preserve"> Смоленской области в 2023 году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21,8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21,8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14.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198,7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198,7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198,7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198,7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198,7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198,7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1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15.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35817,4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35593,9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-223,5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13393,0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13393,0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10095,7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10095,7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lastRenderedPageBreak/>
              <w:t>17.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Объем бюджетных ассигнований дорожного фонда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23290,7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23290,7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2947,2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2947,2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3057,2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3057,2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17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18.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Объем бюджетных ассигнований дорожного фонда сельского поселения, установленных решением Совета депутатов от 24.04.2019 №10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22825,5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22825,5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2947,2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2947,2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3057,2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3057,2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19.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270,4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922,7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>
              <w:t>+</w:t>
            </w:r>
            <w:r w:rsidRPr="002B112C">
              <w:t>652,3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20.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50,0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10,0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22.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2C" w:rsidRPr="002B112C" w:rsidRDefault="002B112C" w:rsidP="002B112C">
            <w:r w:rsidRPr="002B112C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5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23.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Расходы сельского поселения на обслуживание муниципального долга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</w:tbl>
    <w:p w:rsidR="002B112C" w:rsidRDefault="002B112C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2021 года, показатели 2022 и 2023 годов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37 697,5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D0707">
        <w:rPr>
          <w:rFonts w:ascii="Times New Roman" w:hAnsi="Times New Roman" w:cs="Times New Roman"/>
          <w:b/>
          <w:sz w:val="28"/>
          <w:szCs w:val="28"/>
        </w:rPr>
        <w:t>910,9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28 997,9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28 997,9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38 162,7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D0707">
        <w:rPr>
          <w:rFonts w:ascii="Times New Roman" w:hAnsi="Times New Roman" w:cs="Times New Roman"/>
          <w:b/>
          <w:sz w:val="28"/>
          <w:szCs w:val="28"/>
        </w:rPr>
        <w:t>910,9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r w:rsidR="00D57BBA">
        <w:rPr>
          <w:rFonts w:ascii="Times New Roman" w:hAnsi="Times New Roman" w:cs="Times New Roman"/>
          <w:sz w:val="28"/>
          <w:szCs w:val="28"/>
        </w:rPr>
        <w:t>предлагается</w:t>
      </w:r>
      <w:r w:rsidR="00100192">
        <w:rPr>
          <w:rFonts w:ascii="Times New Roman" w:hAnsi="Times New Roman" w:cs="Times New Roman"/>
          <w:sz w:val="28"/>
          <w:szCs w:val="28"/>
        </w:rPr>
        <w:t xml:space="preserve"> к утверждению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465,2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4654">
        <w:rPr>
          <w:rFonts w:ascii="Times New Roman" w:hAnsi="Times New Roman" w:cs="Times New Roman"/>
          <w:sz w:val="28"/>
          <w:szCs w:val="28"/>
        </w:rPr>
        <w:t>, без изменений</w:t>
      </w:r>
      <w:r w:rsidR="00D57BBA">
        <w:rPr>
          <w:rFonts w:ascii="Times New Roman" w:hAnsi="Times New Roman" w:cs="Times New Roman"/>
          <w:sz w:val="28"/>
          <w:szCs w:val="28"/>
        </w:rPr>
        <w:t>;</w:t>
      </w:r>
    </w:p>
    <w:p w:rsidR="005221C2" w:rsidRDefault="00570ACE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</w:t>
      </w:r>
      <w:r w:rsidR="00A560C7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35 593,9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6D0707">
        <w:rPr>
          <w:rFonts w:ascii="Times New Roman" w:hAnsi="Times New Roman" w:cs="Times New Roman"/>
          <w:sz w:val="28"/>
          <w:szCs w:val="28"/>
        </w:rPr>
        <w:t>меньшением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D0707">
        <w:rPr>
          <w:rFonts w:ascii="Times New Roman" w:hAnsi="Times New Roman" w:cs="Times New Roman"/>
          <w:b/>
          <w:sz w:val="28"/>
          <w:szCs w:val="28"/>
        </w:rPr>
        <w:t>223,5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6D0707">
        <w:rPr>
          <w:rFonts w:ascii="Times New Roman" w:hAnsi="Times New Roman" w:cs="Times New Roman"/>
          <w:sz w:val="28"/>
          <w:szCs w:val="28"/>
        </w:rPr>
        <w:t>;</w:t>
      </w:r>
    </w:p>
    <w:p w:rsidR="006D0707" w:rsidRDefault="006D0707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6D0707">
        <w:rPr>
          <w:rFonts w:ascii="Times New Roman" w:hAnsi="Times New Roman" w:cs="Times New Roman"/>
          <w:sz w:val="28"/>
          <w:szCs w:val="28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707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922,7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652,3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9EC" w:rsidRDefault="002139EC" w:rsidP="00472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37 697,5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221FFE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8 699,6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0771">
        <w:rPr>
          <w:rFonts w:ascii="Times New Roman" w:hAnsi="Times New Roman" w:cs="Times New Roman"/>
          <w:sz w:val="28"/>
          <w:szCs w:val="28"/>
        </w:rPr>
        <w:t>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28 997,9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221FFE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D0707">
        <w:rPr>
          <w:rFonts w:ascii="Times New Roman" w:hAnsi="Times New Roman" w:cs="Times New Roman"/>
          <w:b/>
          <w:sz w:val="28"/>
          <w:szCs w:val="28"/>
        </w:rPr>
        <w:t>910,9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D0707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</w:t>
      </w:r>
      <w:r w:rsidR="00221FFE">
        <w:rPr>
          <w:rFonts w:ascii="Times New Roman" w:hAnsi="Times New Roman" w:cs="Times New Roman"/>
          <w:sz w:val="28"/>
          <w:szCs w:val="28"/>
        </w:rPr>
        <w:t xml:space="preserve"> планируются в части предоставления</w:t>
      </w:r>
      <w:r w:rsidR="006D0707">
        <w:rPr>
          <w:rFonts w:ascii="Times New Roman" w:hAnsi="Times New Roman" w:cs="Times New Roman"/>
          <w:sz w:val="28"/>
          <w:szCs w:val="28"/>
        </w:rPr>
        <w:t>:</w:t>
      </w:r>
    </w:p>
    <w:p w:rsidR="00D16F71" w:rsidRDefault="006D070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D0707">
        <w:rPr>
          <w:rFonts w:ascii="Times New Roman" w:hAnsi="Times New Roman" w:cs="Times New Roman"/>
          <w:sz w:val="28"/>
          <w:szCs w:val="28"/>
        </w:rPr>
        <w:t>рочи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D0707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D0707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 xml:space="preserve">ов в сумме </w:t>
      </w:r>
      <w:r w:rsidRPr="006D0707">
        <w:rPr>
          <w:rFonts w:ascii="Times New Roman" w:hAnsi="Times New Roman" w:cs="Times New Roman"/>
          <w:b/>
          <w:sz w:val="28"/>
          <w:szCs w:val="28"/>
        </w:rPr>
        <w:t>652,3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D0707" w:rsidRDefault="006D070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904">
        <w:rPr>
          <w:rFonts w:ascii="Times New Roman" w:hAnsi="Times New Roman" w:cs="Times New Roman"/>
          <w:sz w:val="28"/>
          <w:szCs w:val="28"/>
        </w:rPr>
        <w:t>п</w:t>
      </w:r>
      <w:r w:rsidRPr="006D0707">
        <w:rPr>
          <w:rFonts w:ascii="Times New Roman" w:hAnsi="Times New Roman" w:cs="Times New Roman"/>
          <w:sz w:val="28"/>
          <w:szCs w:val="28"/>
        </w:rPr>
        <w:t>рочи</w:t>
      </w:r>
      <w:r w:rsidR="00441904">
        <w:rPr>
          <w:rFonts w:ascii="Times New Roman" w:hAnsi="Times New Roman" w:cs="Times New Roman"/>
          <w:sz w:val="28"/>
          <w:szCs w:val="28"/>
        </w:rPr>
        <w:t>х</w:t>
      </w:r>
      <w:r w:rsidRPr="006D070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41904">
        <w:rPr>
          <w:rFonts w:ascii="Times New Roman" w:hAnsi="Times New Roman" w:cs="Times New Roman"/>
          <w:sz w:val="28"/>
          <w:szCs w:val="28"/>
        </w:rPr>
        <w:t>й</w:t>
      </w:r>
      <w:r w:rsidRPr="006D0707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="0044190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1904" w:rsidRPr="00441904">
        <w:rPr>
          <w:rFonts w:ascii="Times New Roman" w:hAnsi="Times New Roman" w:cs="Times New Roman"/>
          <w:b/>
          <w:sz w:val="28"/>
          <w:szCs w:val="28"/>
        </w:rPr>
        <w:t>20 423,6</w:t>
      </w:r>
      <w:r w:rsidR="0044190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441904" w:rsidRPr="00441904">
        <w:rPr>
          <w:rFonts w:ascii="Times New Roman" w:hAnsi="Times New Roman" w:cs="Times New Roman"/>
          <w:b/>
          <w:sz w:val="28"/>
          <w:szCs w:val="28"/>
        </w:rPr>
        <w:t>258,6</w:t>
      </w:r>
      <w:r w:rsidR="004419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 w:rsidR="00221FFE">
        <w:rPr>
          <w:rFonts w:ascii="Times New Roman" w:hAnsi="Times New Roman" w:cs="Times New Roman"/>
          <w:sz w:val="28"/>
          <w:szCs w:val="28"/>
        </w:rPr>
        <w:t xml:space="preserve"> (</w:t>
      </w:r>
      <w:r w:rsidR="00441904">
        <w:rPr>
          <w:rFonts w:ascii="Times New Roman" w:hAnsi="Times New Roman" w:cs="Times New Roman"/>
          <w:b/>
          <w:sz w:val="28"/>
          <w:szCs w:val="28"/>
        </w:rPr>
        <w:t>37 697,5</w:t>
      </w:r>
      <w:r w:rsidR="00221FFE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221FFE">
        <w:rPr>
          <w:rFonts w:ascii="Times New Roman" w:hAnsi="Times New Roman" w:cs="Times New Roman"/>
          <w:sz w:val="28"/>
          <w:szCs w:val="28"/>
        </w:rPr>
        <w:t xml:space="preserve"> 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441904">
        <w:rPr>
          <w:rFonts w:ascii="Times New Roman" w:hAnsi="Times New Roman" w:cs="Times New Roman"/>
          <w:b/>
          <w:sz w:val="28"/>
          <w:szCs w:val="28"/>
        </w:rPr>
        <w:t>23,1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441904">
        <w:rPr>
          <w:rFonts w:ascii="Times New Roman" w:hAnsi="Times New Roman" w:cs="Times New Roman"/>
          <w:b/>
          <w:sz w:val="28"/>
          <w:szCs w:val="28"/>
        </w:rPr>
        <w:t>76,9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221FFE" w:rsidRDefault="00221FFE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D6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1904">
        <w:rPr>
          <w:rFonts w:ascii="Times New Roman" w:hAnsi="Times New Roman" w:cs="Times New Roman"/>
          <w:b/>
          <w:sz w:val="28"/>
          <w:szCs w:val="28"/>
        </w:rPr>
        <w:t>38 162,7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4"/>
      <w:r w:rsidR="00D16F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41904">
        <w:rPr>
          <w:rFonts w:ascii="Times New Roman" w:hAnsi="Times New Roman" w:cs="Times New Roman"/>
          <w:b/>
          <w:sz w:val="28"/>
          <w:szCs w:val="28"/>
        </w:rPr>
        <w:t>910,9</w:t>
      </w:r>
      <w:r w:rsidR="00D16F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71561" w:rsidRPr="00DB251A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D16F71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P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D16F71">
        <w:rPr>
          <w:rFonts w:ascii="Times New Roman" w:hAnsi="Times New Roman" w:cs="Times New Roman"/>
          <w:sz w:val="24"/>
          <w:szCs w:val="24"/>
        </w:rPr>
        <w:t>2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5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1276"/>
        <w:gridCol w:w="1194"/>
      </w:tblGrid>
      <w:tr w:rsidR="00441904" w:rsidRPr="00441904" w:rsidTr="00441904">
        <w:trPr>
          <w:trHeight w:val="9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Решение от 28.12.2020 №27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Отклонения (+,</w:t>
            </w:r>
            <w:r>
              <w:rPr>
                <w:sz w:val="22"/>
                <w:szCs w:val="22"/>
              </w:rPr>
              <w:t xml:space="preserve"> </w:t>
            </w:r>
            <w:r w:rsidRPr="00441904">
              <w:rPr>
                <w:sz w:val="22"/>
                <w:szCs w:val="22"/>
              </w:rPr>
              <w:t>-)</w:t>
            </w:r>
          </w:p>
        </w:tc>
      </w:tr>
      <w:tr w:rsidR="00441904" w:rsidRPr="00441904" w:rsidTr="00441904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9506,6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9577,7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41904">
              <w:rPr>
                <w:b/>
                <w:bCs/>
                <w:sz w:val="22"/>
                <w:szCs w:val="22"/>
              </w:rPr>
              <w:t>71,1</w:t>
            </w:r>
          </w:p>
        </w:tc>
      </w:tr>
      <w:tr w:rsidR="00441904" w:rsidRPr="00441904" w:rsidTr="0044190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635,4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635,4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lastRenderedPageBreak/>
              <w:t>Функционирование законодательных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8592,8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8456,3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-136,5</w:t>
            </w:r>
          </w:p>
        </w:tc>
      </w:tr>
      <w:tr w:rsidR="00441904" w:rsidRPr="00441904" w:rsidTr="00441904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21,8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50,0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399,2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441904">
              <w:rPr>
                <w:sz w:val="22"/>
                <w:szCs w:val="22"/>
              </w:rPr>
              <w:t>207,6</w:t>
            </w:r>
          </w:p>
        </w:tc>
      </w:tr>
      <w:tr w:rsidR="00441904" w:rsidRPr="00441904" w:rsidTr="0044190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270,9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270,9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270,9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270,9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23423,7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23463,7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41904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441904" w:rsidRPr="00441904" w:rsidTr="0044190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140,0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441904">
              <w:rPr>
                <w:sz w:val="22"/>
                <w:szCs w:val="22"/>
              </w:rPr>
              <w:t>40,0</w:t>
            </w:r>
          </w:p>
        </w:tc>
      </w:tr>
      <w:tr w:rsidR="00441904" w:rsidRPr="00441904" w:rsidTr="0044190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23290,7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23290,7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33,0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3836,9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4636,7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41904">
              <w:rPr>
                <w:b/>
                <w:bCs/>
                <w:sz w:val="22"/>
                <w:szCs w:val="22"/>
              </w:rPr>
              <w:t>799,8</w:t>
            </w:r>
          </w:p>
        </w:tc>
      </w:tr>
      <w:tr w:rsidR="00441904" w:rsidRPr="00441904" w:rsidTr="0044190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1041,8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441904">
              <w:rPr>
                <w:sz w:val="22"/>
                <w:szCs w:val="22"/>
              </w:rPr>
              <w:t>876,8</w:t>
            </w:r>
          </w:p>
        </w:tc>
      </w:tr>
      <w:tr w:rsidR="00441904" w:rsidRPr="00441904" w:rsidTr="00441904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1936,0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1958,0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441904">
              <w:rPr>
                <w:sz w:val="22"/>
                <w:szCs w:val="22"/>
              </w:rPr>
              <w:t>22,0</w:t>
            </w:r>
          </w:p>
        </w:tc>
      </w:tr>
      <w:tr w:rsidR="00441904" w:rsidRPr="00441904" w:rsidTr="0044190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1735,9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1636,9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-99,0</w:t>
            </w:r>
          </w:p>
        </w:tc>
      </w:tr>
      <w:tr w:rsidR="00441904" w:rsidRPr="00441904" w:rsidTr="00441904">
        <w:trPr>
          <w:trHeight w:val="1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198,7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198,7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sz w:val="22"/>
                <w:szCs w:val="22"/>
              </w:rPr>
            </w:pPr>
            <w:r w:rsidRPr="00441904">
              <w:rPr>
                <w:sz w:val="22"/>
                <w:szCs w:val="22"/>
              </w:rPr>
              <w:t>0,0</w:t>
            </w:r>
          </w:p>
        </w:tc>
      </w:tr>
      <w:tr w:rsidR="00441904" w:rsidRPr="00441904" w:rsidTr="0044190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4" w:rsidRPr="00441904" w:rsidRDefault="00441904" w:rsidP="00441904">
            <w:pPr>
              <w:jc w:val="center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37251,8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 w:rsidRPr="00441904">
              <w:rPr>
                <w:b/>
                <w:bCs/>
                <w:sz w:val="22"/>
                <w:szCs w:val="22"/>
              </w:rPr>
              <w:t>38162,7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4" w:rsidRPr="00441904" w:rsidRDefault="00441904" w:rsidP="004419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41904">
              <w:rPr>
                <w:b/>
                <w:bCs/>
                <w:sz w:val="22"/>
                <w:szCs w:val="22"/>
              </w:rPr>
              <w:t>910,9</w:t>
            </w:r>
          </w:p>
        </w:tc>
      </w:tr>
    </w:tbl>
    <w:p w:rsidR="00565EA2" w:rsidRDefault="00565EA2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878" w:rsidRDefault="00CF5605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41904">
        <w:rPr>
          <w:rFonts w:ascii="Times New Roman" w:hAnsi="Times New Roman" w:cs="Times New Roman"/>
          <w:b/>
          <w:sz w:val="28"/>
          <w:szCs w:val="28"/>
        </w:rPr>
        <w:t>9 577,7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441904">
        <w:rPr>
          <w:rFonts w:ascii="Times New Roman" w:hAnsi="Times New Roman" w:cs="Times New Roman"/>
          <w:sz w:val="28"/>
          <w:szCs w:val="28"/>
        </w:rPr>
        <w:t>величением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41904">
        <w:rPr>
          <w:rFonts w:ascii="Times New Roman" w:hAnsi="Times New Roman" w:cs="Times New Roman"/>
          <w:b/>
          <w:sz w:val="28"/>
          <w:szCs w:val="28"/>
        </w:rPr>
        <w:t>71,1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16F71">
        <w:rPr>
          <w:rFonts w:ascii="Times New Roman" w:hAnsi="Times New Roman" w:cs="Times New Roman"/>
          <w:sz w:val="28"/>
          <w:szCs w:val="28"/>
        </w:rPr>
        <w:t>, за счет:</w:t>
      </w:r>
    </w:p>
    <w:p w:rsidR="00D16F71" w:rsidRDefault="00D16F71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904">
        <w:rPr>
          <w:rFonts w:ascii="Times New Roman" w:hAnsi="Times New Roman" w:cs="Times New Roman"/>
          <w:sz w:val="28"/>
          <w:szCs w:val="28"/>
        </w:rPr>
        <w:t>уменьшения</w:t>
      </w:r>
      <w:r w:rsidR="00441904" w:rsidRPr="00D16F71">
        <w:rPr>
          <w:rFonts w:ascii="Times New Roman" w:hAnsi="Times New Roman" w:cs="Times New Roman"/>
          <w:sz w:val="28"/>
          <w:szCs w:val="28"/>
        </w:rPr>
        <w:t xml:space="preserve"> </w:t>
      </w:r>
      <w:r w:rsidR="00441904">
        <w:rPr>
          <w:rFonts w:ascii="Times New Roman" w:hAnsi="Times New Roman" w:cs="Times New Roman"/>
          <w:sz w:val="28"/>
          <w:szCs w:val="28"/>
        </w:rPr>
        <w:t xml:space="preserve">расходов на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16F71">
        <w:rPr>
          <w:rFonts w:ascii="Times New Roman" w:hAnsi="Times New Roman" w:cs="Times New Roman"/>
          <w:sz w:val="28"/>
          <w:szCs w:val="28"/>
        </w:rPr>
        <w:t>ункционирование исполнительных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1904">
        <w:rPr>
          <w:rFonts w:ascii="Times New Roman" w:hAnsi="Times New Roman" w:cs="Times New Roman"/>
          <w:b/>
          <w:sz w:val="28"/>
          <w:szCs w:val="28"/>
        </w:rPr>
        <w:t>136,5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1904">
        <w:rPr>
          <w:rFonts w:ascii="Times New Roman" w:hAnsi="Times New Roman" w:cs="Times New Roman"/>
          <w:sz w:val="28"/>
          <w:szCs w:val="28"/>
        </w:rPr>
        <w:t>;</w:t>
      </w:r>
    </w:p>
    <w:p w:rsidR="00D16F71" w:rsidRDefault="00D16F71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904">
        <w:rPr>
          <w:rFonts w:ascii="Times New Roman" w:hAnsi="Times New Roman" w:cs="Times New Roman"/>
          <w:sz w:val="28"/>
          <w:szCs w:val="28"/>
        </w:rPr>
        <w:t xml:space="preserve">увеличения расходов на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16F71">
        <w:rPr>
          <w:rFonts w:ascii="Times New Roman" w:hAnsi="Times New Roman" w:cs="Times New Roman"/>
          <w:sz w:val="28"/>
          <w:szCs w:val="28"/>
        </w:rPr>
        <w:t xml:space="preserve">ругие общегосударственные вопросы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41904">
        <w:rPr>
          <w:rFonts w:ascii="Times New Roman" w:hAnsi="Times New Roman" w:cs="Times New Roman"/>
          <w:b/>
          <w:sz w:val="28"/>
          <w:szCs w:val="28"/>
        </w:rPr>
        <w:t>207,6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7087">
        <w:rPr>
          <w:rFonts w:ascii="Times New Roman" w:hAnsi="Times New Roman" w:cs="Times New Roman"/>
          <w:sz w:val="28"/>
          <w:szCs w:val="28"/>
        </w:rPr>
        <w:t>.</w:t>
      </w:r>
    </w:p>
    <w:p w:rsidR="00F27475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D31E27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41904">
        <w:rPr>
          <w:rFonts w:ascii="Times New Roman" w:hAnsi="Times New Roman" w:cs="Times New Roman"/>
          <w:b/>
          <w:sz w:val="28"/>
          <w:szCs w:val="28"/>
        </w:rPr>
        <w:t>270,9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057087">
        <w:rPr>
          <w:rFonts w:ascii="Times New Roman" w:hAnsi="Times New Roman" w:cs="Times New Roman"/>
          <w:sz w:val="28"/>
          <w:szCs w:val="28"/>
        </w:rPr>
        <w:t>.</w:t>
      </w:r>
    </w:p>
    <w:p w:rsidR="00745E92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441904"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41904">
        <w:rPr>
          <w:rFonts w:ascii="Times New Roman" w:hAnsi="Times New Roman" w:cs="Times New Roman"/>
          <w:b/>
          <w:sz w:val="28"/>
          <w:szCs w:val="28"/>
        </w:rPr>
        <w:t>23 463,7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>с у</w:t>
      </w:r>
      <w:r w:rsidR="00441904">
        <w:rPr>
          <w:rFonts w:ascii="Times New Roman" w:hAnsi="Times New Roman" w:cs="Times New Roman"/>
          <w:sz w:val="28"/>
          <w:szCs w:val="28"/>
        </w:rPr>
        <w:t>величением</w:t>
      </w:r>
      <w:r w:rsidR="00A84F81">
        <w:rPr>
          <w:rFonts w:ascii="Times New Roman" w:hAnsi="Times New Roman" w:cs="Times New Roman"/>
          <w:sz w:val="28"/>
          <w:szCs w:val="28"/>
        </w:rPr>
        <w:t xml:space="preserve"> на </w:t>
      </w:r>
      <w:r w:rsidR="00441904">
        <w:rPr>
          <w:rFonts w:ascii="Times New Roman" w:hAnsi="Times New Roman" w:cs="Times New Roman"/>
          <w:b/>
          <w:sz w:val="28"/>
          <w:szCs w:val="28"/>
        </w:rPr>
        <w:t>40,0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7087">
        <w:rPr>
          <w:rFonts w:ascii="Times New Roman" w:hAnsi="Times New Roman" w:cs="Times New Roman"/>
          <w:sz w:val="28"/>
          <w:szCs w:val="28"/>
        </w:rPr>
        <w:t>.</w:t>
      </w:r>
    </w:p>
    <w:p w:rsidR="00D31E27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441904">
        <w:rPr>
          <w:rFonts w:ascii="Times New Roman" w:hAnsi="Times New Roman" w:cs="Times New Roman"/>
          <w:b/>
          <w:sz w:val="28"/>
          <w:szCs w:val="28"/>
        </w:rPr>
        <w:t>4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41904">
        <w:rPr>
          <w:rFonts w:ascii="Times New Roman" w:hAnsi="Times New Roman" w:cs="Times New Roman"/>
          <w:b/>
          <w:sz w:val="28"/>
          <w:szCs w:val="28"/>
        </w:rPr>
        <w:t>4 636,7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</w:t>
      </w:r>
      <w:r w:rsidR="00D31E27">
        <w:rPr>
          <w:rFonts w:ascii="Times New Roman" w:hAnsi="Times New Roman" w:cs="Times New Roman"/>
          <w:sz w:val="28"/>
          <w:szCs w:val="28"/>
        </w:rPr>
        <w:t>величением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41904">
        <w:rPr>
          <w:rFonts w:ascii="Times New Roman" w:hAnsi="Times New Roman" w:cs="Times New Roman"/>
          <w:b/>
          <w:sz w:val="28"/>
          <w:szCs w:val="28"/>
        </w:rPr>
        <w:t>799,8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31E27">
        <w:rPr>
          <w:rFonts w:ascii="Times New Roman" w:hAnsi="Times New Roman" w:cs="Times New Roman"/>
          <w:sz w:val="28"/>
          <w:szCs w:val="28"/>
        </w:rPr>
        <w:t>за счет:</w:t>
      </w:r>
    </w:p>
    <w:p w:rsidR="00441904" w:rsidRDefault="00441904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B251A">
        <w:rPr>
          <w:rFonts w:ascii="Times New Roman" w:hAnsi="Times New Roman" w:cs="Times New Roman"/>
          <w:sz w:val="28"/>
          <w:szCs w:val="28"/>
        </w:rPr>
        <w:t>величен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 xml:space="preserve">ов на жилищное хозяйство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876,8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D31E27" w:rsidRDefault="00D31E27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904">
        <w:rPr>
          <w:rFonts w:ascii="Times New Roman" w:hAnsi="Times New Roman" w:cs="Times New Roman"/>
          <w:sz w:val="28"/>
          <w:szCs w:val="28"/>
        </w:rPr>
        <w:t>у</w:t>
      </w:r>
      <w:r w:rsidR="00441904" w:rsidRPr="00DB251A">
        <w:rPr>
          <w:rFonts w:ascii="Times New Roman" w:hAnsi="Times New Roman" w:cs="Times New Roman"/>
          <w:sz w:val="28"/>
          <w:szCs w:val="28"/>
        </w:rPr>
        <w:t>величен</w:t>
      </w:r>
      <w:r w:rsidR="00441904">
        <w:rPr>
          <w:rFonts w:ascii="Times New Roman" w:hAnsi="Times New Roman" w:cs="Times New Roman"/>
          <w:sz w:val="28"/>
          <w:szCs w:val="28"/>
        </w:rPr>
        <w:t>ия</w:t>
      </w:r>
      <w:r w:rsidR="00441904" w:rsidRPr="00DB251A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41904">
        <w:rPr>
          <w:rFonts w:ascii="Times New Roman" w:hAnsi="Times New Roman" w:cs="Times New Roman"/>
          <w:sz w:val="28"/>
          <w:szCs w:val="28"/>
        </w:rPr>
        <w:t xml:space="preserve">ов на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441904">
        <w:rPr>
          <w:rFonts w:ascii="Times New Roman" w:hAnsi="Times New Roman" w:cs="Times New Roman"/>
          <w:b/>
          <w:sz w:val="28"/>
          <w:szCs w:val="28"/>
        </w:rPr>
        <w:t>22,0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1E27" w:rsidRPr="00DB251A" w:rsidRDefault="00D31E27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904">
        <w:rPr>
          <w:rFonts w:ascii="Times New Roman" w:hAnsi="Times New Roman" w:cs="Times New Roman"/>
          <w:sz w:val="28"/>
          <w:szCs w:val="28"/>
        </w:rPr>
        <w:t xml:space="preserve">уменьшения расходов на </w:t>
      </w:r>
      <w:r w:rsidR="00651D03" w:rsidRPr="00DB251A">
        <w:rPr>
          <w:rFonts w:ascii="Times New Roman" w:hAnsi="Times New Roman" w:cs="Times New Roman"/>
          <w:sz w:val="28"/>
          <w:szCs w:val="28"/>
        </w:rPr>
        <w:t>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53CDA">
        <w:rPr>
          <w:rFonts w:ascii="Times New Roman" w:hAnsi="Times New Roman" w:cs="Times New Roman"/>
          <w:b/>
          <w:sz w:val="28"/>
          <w:szCs w:val="28"/>
        </w:rPr>
        <w:t>99,0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</w:t>
      </w:r>
      <w:r w:rsidR="00F352C7" w:rsidRPr="00DB251A">
        <w:rPr>
          <w:rFonts w:ascii="Times New Roman" w:hAnsi="Times New Roman" w:cs="Times New Roman"/>
          <w:sz w:val="28"/>
          <w:szCs w:val="28"/>
        </w:rPr>
        <w:t>ублей</w:t>
      </w:r>
      <w:r w:rsidR="00057087">
        <w:rPr>
          <w:rFonts w:ascii="Times New Roman" w:hAnsi="Times New Roman" w:cs="Times New Roman"/>
          <w:sz w:val="28"/>
          <w:szCs w:val="28"/>
        </w:rPr>
        <w:t>.</w:t>
      </w:r>
    </w:p>
    <w:p w:rsidR="00D31E27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</w:t>
      </w:r>
      <w:r w:rsidR="00057087">
        <w:rPr>
          <w:rFonts w:ascii="Times New Roman" w:hAnsi="Times New Roman" w:cs="Times New Roman"/>
          <w:b/>
          <w:sz w:val="28"/>
          <w:szCs w:val="28"/>
        </w:rPr>
        <w:t>5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7087">
        <w:rPr>
          <w:rFonts w:ascii="Times New Roman" w:hAnsi="Times New Roman" w:cs="Times New Roman"/>
          <w:b/>
          <w:sz w:val="28"/>
          <w:szCs w:val="28"/>
        </w:rPr>
        <w:t>15,0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D31E27">
        <w:rPr>
          <w:rFonts w:ascii="Times New Roman" w:hAnsi="Times New Roman" w:cs="Times New Roman"/>
          <w:sz w:val="28"/>
          <w:szCs w:val="28"/>
        </w:rPr>
        <w:t xml:space="preserve"> </w:t>
      </w:r>
      <w:r w:rsidR="00057087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057087" w:rsidRDefault="00CF5605" w:rsidP="00B446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</w:t>
      </w:r>
      <w:r w:rsidR="00057087">
        <w:rPr>
          <w:rFonts w:ascii="Times New Roman" w:hAnsi="Times New Roman" w:cs="Times New Roman"/>
          <w:b/>
          <w:sz w:val="28"/>
          <w:szCs w:val="28"/>
        </w:rPr>
        <w:t>6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7087">
        <w:rPr>
          <w:rFonts w:ascii="Times New Roman" w:hAnsi="Times New Roman" w:cs="Times New Roman"/>
          <w:b/>
          <w:sz w:val="28"/>
          <w:szCs w:val="28"/>
        </w:rPr>
        <w:t>198,7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44654">
        <w:rPr>
          <w:rFonts w:ascii="Times New Roman" w:hAnsi="Times New Roman" w:cs="Times New Roman"/>
          <w:sz w:val="28"/>
          <w:szCs w:val="28"/>
        </w:rPr>
        <w:t>без изменений</w:t>
      </w:r>
      <w:r w:rsidR="00057087">
        <w:rPr>
          <w:rFonts w:ascii="Times New Roman" w:hAnsi="Times New Roman" w:cs="Times New Roman"/>
          <w:sz w:val="28"/>
          <w:szCs w:val="28"/>
        </w:rPr>
        <w:t>.</w:t>
      </w:r>
    </w:p>
    <w:p w:rsidR="00057087" w:rsidRDefault="00057087" w:rsidP="00B446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087" w:rsidRDefault="00057087" w:rsidP="0005708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5" w:name="_Hlk74666886"/>
    </w:p>
    <w:p w:rsidR="00295AF7" w:rsidRDefault="0054619D" w:rsidP="0005708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057087">
        <w:rPr>
          <w:rFonts w:ascii="Times New Roman" w:hAnsi="Times New Roman" w:cs="Times New Roman"/>
          <w:b/>
          <w:sz w:val="28"/>
          <w:szCs w:val="28"/>
        </w:rPr>
        <w:t>35 593,9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5"/>
      <w:r w:rsidR="00B44654">
        <w:rPr>
          <w:rFonts w:ascii="Times New Roman" w:hAnsi="Times New Roman" w:cs="Times New Roman"/>
          <w:sz w:val="28"/>
          <w:szCs w:val="28"/>
        </w:rPr>
        <w:t xml:space="preserve">с </w:t>
      </w:r>
      <w:r w:rsidR="00057087">
        <w:rPr>
          <w:rFonts w:ascii="Times New Roman" w:hAnsi="Times New Roman" w:cs="Times New Roman"/>
          <w:sz w:val="28"/>
          <w:szCs w:val="28"/>
        </w:rPr>
        <w:t>уменьшением</w:t>
      </w:r>
      <w:r w:rsidR="00B44654">
        <w:rPr>
          <w:rFonts w:ascii="Times New Roman" w:hAnsi="Times New Roman" w:cs="Times New Roman"/>
          <w:sz w:val="28"/>
          <w:szCs w:val="28"/>
        </w:rPr>
        <w:t xml:space="preserve"> на </w:t>
      </w:r>
      <w:r w:rsidR="00057087">
        <w:rPr>
          <w:rFonts w:ascii="Times New Roman" w:hAnsi="Times New Roman" w:cs="Times New Roman"/>
          <w:b/>
          <w:sz w:val="28"/>
          <w:szCs w:val="28"/>
        </w:rPr>
        <w:t>223,5</w:t>
      </w:r>
      <w:r w:rsidR="00B446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666903"/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7087">
        <w:rPr>
          <w:rFonts w:ascii="Times New Roman" w:hAnsi="Times New Roman" w:cs="Times New Roman"/>
          <w:b/>
          <w:sz w:val="28"/>
          <w:szCs w:val="28"/>
        </w:rPr>
        <w:t>2 568,8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57087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E3063">
        <w:rPr>
          <w:rFonts w:ascii="Times New Roman" w:hAnsi="Times New Roman" w:cs="Times New Roman"/>
          <w:b/>
          <w:sz w:val="28"/>
          <w:szCs w:val="28"/>
        </w:rPr>
        <w:t>1 134,4</w:t>
      </w:r>
      <w:r w:rsidR="00057087"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6"/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</w:t>
      </w:r>
      <w:r w:rsidR="00B446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619D">
        <w:rPr>
          <w:rFonts w:ascii="Times New Roman" w:hAnsi="Times New Roman" w:cs="Times New Roman"/>
          <w:sz w:val="24"/>
          <w:szCs w:val="24"/>
        </w:rPr>
        <w:t>Таблица №</w:t>
      </w:r>
      <w:r w:rsidR="00B44654">
        <w:rPr>
          <w:rFonts w:ascii="Times New Roman" w:hAnsi="Times New Roman" w:cs="Times New Roman"/>
          <w:sz w:val="24"/>
          <w:szCs w:val="24"/>
        </w:rPr>
        <w:t>3</w:t>
      </w:r>
      <w:r w:rsidRPr="0054619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524"/>
        <w:gridCol w:w="6454"/>
        <w:gridCol w:w="1116"/>
        <w:gridCol w:w="1111"/>
        <w:gridCol w:w="1285"/>
      </w:tblGrid>
      <w:tr w:rsidR="00057087" w:rsidRPr="00057087" w:rsidTr="00057087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b/>
                <w:bCs/>
                <w:sz w:val="20"/>
                <w:szCs w:val="20"/>
              </w:rPr>
            </w:pPr>
            <w:r w:rsidRPr="00057087">
              <w:rPr>
                <w:b/>
                <w:bCs/>
                <w:sz w:val="20"/>
                <w:szCs w:val="20"/>
              </w:rPr>
              <w:t>Решение от 28.12.2020 №27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b/>
                <w:bCs/>
                <w:sz w:val="20"/>
                <w:szCs w:val="20"/>
              </w:rPr>
            </w:pPr>
            <w:r w:rsidRPr="00057087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b/>
                <w:bCs/>
                <w:sz w:val="20"/>
                <w:szCs w:val="20"/>
              </w:rPr>
            </w:pPr>
            <w:r w:rsidRPr="00057087">
              <w:rPr>
                <w:b/>
                <w:bCs/>
                <w:sz w:val="20"/>
                <w:szCs w:val="20"/>
              </w:rPr>
              <w:t>отклонения (+,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57087">
              <w:rPr>
                <w:b/>
                <w:bCs/>
                <w:sz w:val="20"/>
                <w:szCs w:val="20"/>
              </w:rPr>
              <w:t>-)</w:t>
            </w:r>
          </w:p>
        </w:tc>
      </w:tr>
      <w:tr w:rsidR="00057087" w:rsidRPr="00057087" w:rsidTr="00057087">
        <w:trPr>
          <w:trHeight w:val="5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8605,8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8469,3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-136,5</w:t>
            </w:r>
          </w:p>
        </w:tc>
      </w:tr>
      <w:tr w:rsidR="00057087" w:rsidRPr="00057087" w:rsidTr="00057087">
        <w:trPr>
          <w:trHeight w:val="5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 xml:space="preserve">Развитие и содержание дорожно-транспортного комплекса на территории Тумановского сельского </w:t>
            </w:r>
            <w:r w:rsidRPr="00057087">
              <w:rPr>
                <w:color w:val="000000"/>
                <w:sz w:val="20"/>
                <w:szCs w:val="20"/>
              </w:rPr>
              <w:t>поселения</w:t>
            </w:r>
            <w:r w:rsidRPr="00057087">
              <w:rPr>
                <w:color w:val="000000"/>
                <w:sz w:val="20"/>
                <w:szCs w:val="20"/>
              </w:rPr>
              <w:t xml:space="preserve">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23290,7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23290,7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2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 xml:space="preserve">Газификация Тумановского сельского поселения Вяземского </w:t>
            </w:r>
            <w:r w:rsidRPr="00057087">
              <w:rPr>
                <w:color w:val="000000"/>
                <w:sz w:val="20"/>
                <w:szCs w:val="20"/>
              </w:rPr>
              <w:t>района</w:t>
            </w:r>
            <w:r w:rsidRPr="00057087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270,4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270,4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7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 xml:space="preserve">Обеспечение мероприятий в </w:t>
            </w:r>
            <w:r w:rsidRPr="00057087">
              <w:rPr>
                <w:color w:val="000000"/>
                <w:sz w:val="20"/>
                <w:szCs w:val="20"/>
              </w:rPr>
              <w:t>области</w:t>
            </w:r>
            <w:r w:rsidRPr="00057087">
              <w:rPr>
                <w:color w:val="000000"/>
                <w:sz w:val="20"/>
                <w:szCs w:val="20"/>
              </w:rPr>
              <w:t xml:space="preserve"> жилищного хозяйства на территории </w:t>
            </w:r>
            <w:r w:rsidRPr="00057087">
              <w:rPr>
                <w:color w:val="000000"/>
                <w:sz w:val="20"/>
                <w:szCs w:val="20"/>
              </w:rPr>
              <w:t>Тумановского</w:t>
            </w:r>
            <w:r w:rsidRPr="00057087">
              <w:rPr>
                <w:color w:val="000000"/>
                <w:sz w:val="20"/>
                <w:szCs w:val="20"/>
              </w:rPr>
              <w:t xml:space="preserve"> сельского поселения Вяземского </w:t>
            </w:r>
            <w:r w:rsidRPr="00057087">
              <w:rPr>
                <w:color w:val="000000"/>
                <w:sz w:val="20"/>
                <w:szCs w:val="20"/>
              </w:rPr>
              <w:t>района</w:t>
            </w:r>
            <w:r w:rsidRPr="00057087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-50,0</w:t>
            </w:r>
          </w:p>
        </w:tc>
      </w:tr>
      <w:tr w:rsidR="00057087" w:rsidRPr="00057087" w:rsidTr="00057087">
        <w:trPr>
          <w:trHeight w:val="3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 xml:space="preserve">Комплексное развитие систем коммунальной инфраструктуры Тумановского сельского поселения Вяземского </w:t>
            </w:r>
            <w:r w:rsidRPr="00057087">
              <w:rPr>
                <w:color w:val="000000"/>
                <w:sz w:val="20"/>
                <w:szCs w:val="20"/>
              </w:rPr>
              <w:t>района</w:t>
            </w:r>
            <w:r w:rsidRPr="00057087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1665,6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1687,6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57087">
              <w:rPr>
                <w:color w:val="000000"/>
                <w:sz w:val="20"/>
                <w:szCs w:val="20"/>
              </w:rPr>
              <w:t>22,0</w:t>
            </w:r>
          </w:p>
        </w:tc>
      </w:tr>
      <w:tr w:rsidR="00057087" w:rsidRPr="00057087" w:rsidTr="00057087">
        <w:trPr>
          <w:trHeight w:val="1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 xml:space="preserve">Благоустройство территории Тумановского сельского поселения Вяземского </w:t>
            </w:r>
            <w:r w:rsidRPr="00057087">
              <w:rPr>
                <w:color w:val="000000"/>
                <w:sz w:val="20"/>
                <w:szCs w:val="20"/>
              </w:rPr>
              <w:t>района</w:t>
            </w:r>
            <w:r w:rsidRPr="00057087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1706,9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1746,9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57087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057087" w:rsidRPr="00057087" w:rsidTr="00057087">
        <w:trPr>
          <w:trHeight w:val="2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 xml:space="preserve">Профилактика экстремизма и терроризма, предупреждения межнациональных конфликтов на </w:t>
            </w:r>
            <w:r>
              <w:rPr>
                <w:color w:val="000000"/>
                <w:sz w:val="20"/>
                <w:szCs w:val="20"/>
              </w:rPr>
              <w:t xml:space="preserve">территории </w:t>
            </w:r>
            <w:r w:rsidRPr="00057087">
              <w:rPr>
                <w:color w:val="000000"/>
                <w:sz w:val="20"/>
                <w:szCs w:val="20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2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3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 xml:space="preserve">Формирование современной комфортной среды на территории Тумановского </w:t>
            </w:r>
            <w:r w:rsidRPr="00057087">
              <w:rPr>
                <w:color w:val="000000"/>
                <w:sz w:val="20"/>
                <w:szCs w:val="20"/>
              </w:rPr>
              <w:t>сельского</w:t>
            </w:r>
            <w:r w:rsidRPr="00057087">
              <w:rPr>
                <w:color w:val="000000"/>
                <w:sz w:val="20"/>
                <w:szCs w:val="20"/>
              </w:rPr>
              <w:t xml:space="preserve"> поселения Вяземского район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-99,0</w:t>
            </w:r>
          </w:p>
        </w:tc>
      </w:tr>
      <w:tr w:rsidR="00057087" w:rsidRPr="00057087" w:rsidTr="0005708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r w:rsidRPr="00057087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35817,4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35593,9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-223,5</w:t>
            </w:r>
          </w:p>
        </w:tc>
      </w:tr>
      <w:tr w:rsidR="00057087" w:rsidRPr="00057087" w:rsidTr="00057087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635,4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635,4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Расходы резервного фонда Администрации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293,6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57087">
              <w:rPr>
                <w:color w:val="000000"/>
                <w:sz w:val="20"/>
                <w:szCs w:val="20"/>
              </w:rPr>
              <w:t>258,6</w:t>
            </w:r>
          </w:p>
        </w:tc>
      </w:tr>
      <w:tr w:rsidR="00057087" w:rsidRPr="00057087" w:rsidTr="00057087">
        <w:trPr>
          <w:trHeight w:val="2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Расходы резервного фонда Администрации Смоленской области (софинансирование за счет средств местного бюджета)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57087">
              <w:rPr>
                <w:color w:val="000000"/>
                <w:sz w:val="20"/>
                <w:szCs w:val="20"/>
              </w:rPr>
              <w:t>15,8</w:t>
            </w:r>
          </w:p>
        </w:tc>
      </w:tr>
      <w:tr w:rsidR="00057087" w:rsidRPr="00057087" w:rsidTr="00057087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270,9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270,9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Компенсационные выплаты депутатам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176,6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384,3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57087">
              <w:rPr>
                <w:color w:val="000000"/>
                <w:sz w:val="20"/>
                <w:szCs w:val="20"/>
              </w:rPr>
              <w:t>207,7</w:t>
            </w:r>
          </w:p>
        </w:tc>
      </w:tr>
      <w:tr w:rsidR="00057087" w:rsidRPr="00057087" w:rsidTr="00057087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Расходы на выполнение кадастровых работ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Расходы на муниципальные пенсии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198,7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198,7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087" w:rsidRPr="00057087" w:rsidTr="00057087">
        <w:trPr>
          <w:trHeight w:val="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 xml:space="preserve">Расходы резервного фонда Администрации муниципального образования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057087">
              <w:rPr>
                <w:color w:val="000000"/>
                <w:sz w:val="20"/>
                <w:szCs w:val="20"/>
              </w:rPr>
              <w:t>Вяземский район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057087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652,3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57087">
              <w:rPr>
                <w:color w:val="000000"/>
                <w:sz w:val="20"/>
                <w:szCs w:val="20"/>
              </w:rPr>
              <w:t>652,3</w:t>
            </w:r>
          </w:p>
        </w:tc>
      </w:tr>
      <w:tr w:rsidR="00057087" w:rsidRPr="00057087" w:rsidTr="00057087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  <w:r w:rsidRPr="00057087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r w:rsidRPr="00057087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1434,4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2568,8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DE3063">
              <w:rPr>
                <w:b/>
                <w:bCs/>
                <w:color w:val="000000"/>
                <w:sz w:val="20"/>
                <w:szCs w:val="20"/>
              </w:rPr>
              <w:t>1134,4</w:t>
            </w:r>
          </w:p>
        </w:tc>
      </w:tr>
      <w:tr w:rsidR="00057087" w:rsidRPr="00057087" w:rsidTr="0005708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087" w:rsidRPr="00057087" w:rsidRDefault="00057087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37251,8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38162,7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057087">
              <w:rPr>
                <w:b/>
                <w:bCs/>
                <w:color w:val="000000"/>
                <w:sz w:val="20"/>
                <w:szCs w:val="20"/>
              </w:rPr>
              <w:t>910,9</w:t>
            </w:r>
          </w:p>
        </w:tc>
      </w:tr>
    </w:tbl>
    <w:p w:rsidR="001B4876" w:rsidRPr="001B4876" w:rsidRDefault="00B44654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данным таблицы №3 изменения планируется внести в </w:t>
      </w:r>
      <w:r w:rsidR="00057087">
        <w:rPr>
          <w:rFonts w:ascii="Times New Roman" w:hAnsi="Times New Roman" w:cs="Times New Roman"/>
          <w:sz w:val="28"/>
          <w:szCs w:val="28"/>
        </w:rPr>
        <w:t xml:space="preserve">пять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из </w:t>
      </w:r>
      <w:r w:rsidR="00057087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1B4876" w:rsidRPr="001B4876">
        <w:rPr>
          <w:rFonts w:ascii="Times New Roman" w:hAnsi="Times New Roman" w:cs="Times New Roman"/>
          <w:sz w:val="28"/>
          <w:szCs w:val="28"/>
        </w:rPr>
        <w:t>аким образом, доля программных расходов составит</w:t>
      </w:r>
      <w:r w:rsidR="001B4876">
        <w:rPr>
          <w:rFonts w:ascii="Times New Roman" w:hAnsi="Times New Roman" w:cs="Times New Roman"/>
          <w:sz w:val="28"/>
          <w:szCs w:val="28"/>
        </w:rPr>
        <w:t xml:space="preserve"> </w:t>
      </w:r>
      <w:r w:rsidR="00057087">
        <w:rPr>
          <w:rFonts w:ascii="Times New Roman" w:hAnsi="Times New Roman" w:cs="Times New Roman"/>
          <w:b/>
          <w:sz w:val="28"/>
          <w:szCs w:val="28"/>
        </w:rPr>
        <w:t>93,3</w:t>
      </w:r>
      <w:r w:rsidR="001B4876">
        <w:rPr>
          <w:rFonts w:ascii="Times New Roman" w:hAnsi="Times New Roman" w:cs="Times New Roman"/>
          <w:sz w:val="28"/>
          <w:szCs w:val="28"/>
        </w:rPr>
        <w:t>%, в общем объеме расходов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57087">
        <w:rPr>
          <w:rFonts w:ascii="Times New Roman" w:hAnsi="Times New Roman" w:cs="Times New Roman"/>
          <w:b/>
          <w:sz w:val="28"/>
          <w:szCs w:val="28"/>
        </w:rPr>
        <w:t>38 162,7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1B4876">
        <w:rPr>
          <w:rFonts w:ascii="Times New Roman" w:hAnsi="Times New Roman" w:cs="Times New Roman"/>
          <w:sz w:val="28"/>
          <w:szCs w:val="28"/>
        </w:rPr>
        <w:t xml:space="preserve">, непрограммные расходы составят </w:t>
      </w:r>
      <w:r w:rsidR="00057087">
        <w:rPr>
          <w:rFonts w:ascii="Times New Roman" w:hAnsi="Times New Roman" w:cs="Times New Roman"/>
          <w:b/>
          <w:sz w:val="28"/>
          <w:szCs w:val="28"/>
        </w:rPr>
        <w:t>6,7</w:t>
      </w:r>
      <w:r w:rsidR="001B4876">
        <w:rPr>
          <w:rFonts w:ascii="Times New Roman" w:hAnsi="Times New Roman" w:cs="Times New Roman"/>
          <w:sz w:val="28"/>
          <w:szCs w:val="28"/>
        </w:rPr>
        <w:t>%.</w:t>
      </w:r>
    </w:p>
    <w:p w:rsidR="00954493" w:rsidRDefault="0095449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087">
        <w:rPr>
          <w:rFonts w:ascii="Times New Roman" w:hAnsi="Times New Roman" w:cs="Times New Roman"/>
          <w:sz w:val="28"/>
          <w:szCs w:val="28"/>
        </w:rPr>
        <w:t>Планируемые изменения по муниципальным программам: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расходов на </w:t>
      </w:r>
      <w:r w:rsidRPr="00DE3063">
        <w:rPr>
          <w:rFonts w:ascii="Times New Roman" w:hAnsi="Times New Roman" w:cs="Times New Roman"/>
          <w:b/>
          <w:sz w:val="28"/>
          <w:szCs w:val="28"/>
        </w:rPr>
        <w:t>136,5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уменьшение расходов на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3063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уменьшение расходов на </w:t>
      </w:r>
      <w:r>
        <w:rPr>
          <w:rFonts w:ascii="Times New Roman" w:hAnsi="Times New Roman" w:cs="Times New Roman"/>
          <w:b/>
          <w:sz w:val="28"/>
          <w:szCs w:val="28"/>
        </w:rPr>
        <w:t>99,0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3063">
        <w:rPr>
          <w:rFonts w:ascii="Times New Roman" w:hAnsi="Times New Roman" w:cs="Times New Roman"/>
          <w:sz w:val="28"/>
          <w:szCs w:val="28"/>
        </w:rPr>
        <w:t>Формирование современной комфортной среды на территории Тумановского сельского поселения Вяземского район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>
        <w:rPr>
          <w:rFonts w:ascii="Times New Roman" w:hAnsi="Times New Roman" w:cs="Times New Roman"/>
          <w:sz w:val="28"/>
          <w:szCs w:val="28"/>
        </w:rPr>
        <w:t xml:space="preserve"> расходов на </w:t>
      </w:r>
      <w:r>
        <w:rPr>
          <w:rFonts w:ascii="Times New Roman" w:hAnsi="Times New Roman" w:cs="Times New Roman"/>
          <w:b/>
          <w:sz w:val="28"/>
          <w:szCs w:val="28"/>
        </w:rPr>
        <w:t>22,0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3063">
        <w:rPr>
          <w:rFonts w:ascii="Times New Roman" w:hAnsi="Times New Roman" w:cs="Times New Roman"/>
          <w:sz w:val="28"/>
          <w:szCs w:val="28"/>
        </w:rPr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расходов на </w:t>
      </w:r>
      <w:r>
        <w:rPr>
          <w:rFonts w:ascii="Times New Roman" w:hAnsi="Times New Roman" w:cs="Times New Roman"/>
          <w:b/>
          <w:sz w:val="28"/>
          <w:szCs w:val="28"/>
        </w:rPr>
        <w:t>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3063">
        <w:rPr>
          <w:rFonts w:ascii="Times New Roman" w:hAnsi="Times New Roman" w:cs="Times New Roman"/>
          <w:sz w:val="28"/>
          <w:szCs w:val="28"/>
        </w:rPr>
        <w:t>Благоустройство территории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увеличить на </w:t>
      </w:r>
      <w:r>
        <w:rPr>
          <w:rFonts w:ascii="Times New Roman" w:hAnsi="Times New Roman" w:cs="Times New Roman"/>
          <w:b/>
          <w:sz w:val="28"/>
          <w:szCs w:val="28"/>
        </w:rPr>
        <w:t>1 134,4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расходов: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063">
        <w:rPr>
          <w:rFonts w:ascii="Times New Roman" w:hAnsi="Times New Roman" w:cs="Times New Roman"/>
          <w:sz w:val="28"/>
          <w:szCs w:val="28"/>
        </w:rPr>
        <w:t>резервного фонда Администрации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E3063">
        <w:rPr>
          <w:rFonts w:ascii="Times New Roman" w:hAnsi="Times New Roman" w:cs="Times New Roman"/>
          <w:b/>
          <w:sz w:val="28"/>
          <w:szCs w:val="28"/>
        </w:rPr>
        <w:t>258,6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063">
        <w:rPr>
          <w:rFonts w:ascii="Times New Roman" w:hAnsi="Times New Roman" w:cs="Times New Roman"/>
          <w:sz w:val="28"/>
          <w:szCs w:val="28"/>
        </w:rPr>
        <w:t>резервного фонда Администрации Смоленской области (софинансирование за счет средств местного бюджета)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E3063">
        <w:rPr>
          <w:rFonts w:ascii="Times New Roman" w:hAnsi="Times New Roman" w:cs="Times New Roman"/>
          <w:b/>
          <w:sz w:val="28"/>
          <w:szCs w:val="28"/>
        </w:rPr>
        <w:t>15,8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063">
        <w:rPr>
          <w:rFonts w:ascii="Times New Roman" w:hAnsi="Times New Roman" w:cs="Times New Roman"/>
          <w:sz w:val="28"/>
          <w:szCs w:val="28"/>
        </w:rPr>
        <w:t xml:space="preserve"> на исполнение судебных актов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E3063">
        <w:rPr>
          <w:rFonts w:ascii="Times New Roman" w:hAnsi="Times New Roman" w:cs="Times New Roman"/>
          <w:b/>
          <w:sz w:val="28"/>
          <w:szCs w:val="28"/>
        </w:rPr>
        <w:t>207,7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063">
        <w:rPr>
          <w:rFonts w:ascii="Times New Roman" w:hAnsi="Times New Roman" w:cs="Times New Roman"/>
          <w:sz w:val="28"/>
          <w:szCs w:val="28"/>
        </w:rPr>
        <w:t xml:space="preserve">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3063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30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E3063">
        <w:rPr>
          <w:rFonts w:ascii="Times New Roman" w:hAnsi="Times New Roman" w:cs="Times New Roman"/>
          <w:b/>
          <w:sz w:val="28"/>
          <w:szCs w:val="28"/>
        </w:rPr>
        <w:t>652,3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7087" w:rsidRDefault="00057087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654" w:rsidRDefault="00B44654" w:rsidP="00DE30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954493">
        <w:rPr>
          <w:rFonts w:ascii="Times New Roman" w:hAnsi="Times New Roman" w:cs="Times New Roman"/>
          <w:sz w:val="28"/>
          <w:szCs w:val="28"/>
        </w:rPr>
        <w:t>1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E3063">
        <w:rPr>
          <w:rFonts w:ascii="Times New Roman" w:hAnsi="Times New Roman" w:cs="Times New Roman"/>
          <w:b/>
          <w:sz w:val="28"/>
          <w:szCs w:val="28"/>
        </w:rPr>
        <w:t>465,2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7"/>
      <w:r w:rsidR="00DE3063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сточник</w:t>
      </w:r>
      <w:r w:rsidR="00046D3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являются остатки денежных средств бюджета, по состоянию на 01.01.2021 года.</w:t>
      </w:r>
    </w:p>
    <w:p w:rsidR="00046D35" w:rsidRDefault="00046D3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к утверждению дефицит бюджета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E3063">
        <w:rPr>
          <w:rFonts w:ascii="Times New Roman" w:hAnsi="Times New Roman" w:cs="Times New Roman"/>
          <w:b/>
          <w:sz w:val="28"/>
          <w:szCs w:val="28"/>
        </w:rPr>
        <w:t>465,2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DE3063">
        <w:rPr>
          <w:rFonts w:ascii="Times New Roman" w:hAnsi="Times New Roman" w:cs="Times New Roman"/>
          <w:b/>
          <w:sz w:val="28"/>
          <w:szCs w:val="28"/>
        </w:rPr>
        <w:t>5,3</w:t>
      </w:r>
      <w:r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РФ.</w:t>
      </w: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74AF" w:rsidRPr="00DB251A" w:rsidRDefault="005420C0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E3063">
        <w:rPr>
          <w:rFonts w:ascii="Times New Roman" w:hAnsi="Times New Roman" w:cs="Times New Roman"/>
          <w:b/>
          <w:sz w:val="28"/>
          <w:szCs w:val="28"/>
        </w:rPr>
        <w:t>37 697,5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74AF">
        <w:rPr>
          <w:rFonts w:ascii="Times New Roman" w:hAnsi="Times New Roman" w:cs="Times New Roman"/>
          <w:sz w:val="28"/>
          <w:szCs w:val="28"/>
        </w:rPr>
        <w:t>, из них: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0569A9">
        <w:rPr>
          <w:rFonts w:ascii="Times New Roman" w:hAnsi="Times New Roman" w:cs="Times New Roman"/>
          <w:b/>
          <w:sz w:val="28"/>
          <w:szCs w:val="28"/>
        </w:rPr>
        <w:t>8 699,6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20C0"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69A9">
        <w:rPr>
          <w:rFonts w:ascii="Times New Roman" w:hAnsi="Times New Roman" w:cs="Times New Roman"/>
          <w:b/>
          <w:sz w:val="28"/>
          <w:szCs w:val="28"/>
        </w:rPr>
        <w:t>28 997,9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420C0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569A9">
        <w:rPr>
          <w:rFonts w:ascii="Times New Roman" w:hAnsi="Times New Roman" w:cs="Times New Roman"/>
          <w:b/>
          <w:sz w:val="28"/>
          <w:szCs w:val="28"/>
        </w:rPr>
        <w:t>910,9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0C0" w:rsidRPr="00DB251A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569A9">
        <w:rPr>
          <w:rFonts w:ascii="Times New Roman" w:hAnsi="Times New Roman" w:cs="Times New Roman"/>
          <w:b/>
          <w:sz w:val="28"/>
          <w:szCs w:val="28"/>
        </w:rPr>
        <w:t>37 697,5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5420C0" w:rsidRPr="00DB251A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0569A9">
        <w:rPr>
          <w:rFonts w:ascii="Times New Roman" w:hAnsi="Times New Roman" w:cs="Times New Roman"/>
          <w:b/>
          <w:sz w:val="28"/>
          <w:szCs w:val="28"/>
        </w:rPr>
        <w:t>23,1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0569A9">
        <w:rPr>
          <w:rFonts w:ascii="Times New Roman" w:hAnsi="Times New Roman" w:cs="Times New Roman"/>
          <w:b/>
          <w:sz w:val="28"/>
          <w:szCs w:val="28"/>
        </w:rPr>
        <w:t>76,9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0C0" w:rsidRDefault="005420C0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569A9">
        <w:rPr>
          <w:rFonts w:ascii="Times New Roman" w:hAnsi="Times New Roman" w:cs="Times New Roman"/>
          <w:b/>
          <w:sz w:val="28"/>
          <w:szCs w:val="28"/>
        </w:rPr>
        <w:t>38 162,7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569A9">
        <w:rPr>
          <w:rFonts w:ascii="Times New Roman" w:hAnsi="Times New Roman" w:cs="Times New Roman"/>
          <w:b/>
          <w:sz w:val="28"/>
          <w:szCs w:val="28"/>
        </w:rPr>
        <w:t>910,9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0569A9">
        <w:rPr>
          <w:rFonts w:ascii="Times New Roman" w:hAnsi="Times New Roman" w:cs="Times New Roman"/>
          <w:b/>
          <w:sz w:val="28"/>
          <w:szCs w:val="28"/>
        </w:rPr>
        <w:t>35 593,9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с у</w:t>
      </w:r>
      <w:r w:rsidR="000569A9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569A9">
        <w:rPr>
          <w:rFonts w:ascii="Times New Roman" w:hAnsi="Times New Roman" w:cs="Times New Roman"/>
          <w:b/>
          <w:sz w:val="28"/>
          <w:szCs w:val="28"/>
        </w:rPr>
        <w:t>223,5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69A9">
        <w:rPr>
          <w:rFonts w:ascii="Times New Roman" w:hAnsi="Times New Roman" w:cs="Times New Roman"/>
          <w:b/>
          <w:sz w:val="28"/>
          <w:szCs w:val="28"/>
        </w:rPr>
        <w:t>2 568,8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569A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569A9" w:rsidRPr="000569A9">
        <w:rPr>
          <w:rFonts w:ascii="Times New Roman" w:hAnsi="Times New Roman" w:cs="Times New Roman"/>
          <w:b/>
          <w:sz w:val="28"/>
          <w:szCs w:val="28"/>
        </w:rPr>
        <w:t>1 134,4</w:t>
      </w:r>
      <w:r w:rsidR="000569A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0C0" w:rsidRDefault="005420C0" w:rsidP="000569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Предлагаемый к утверждению дефицит бюджета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69A9">
        <w:rPr>
          <w:rFonts w:ascii="Times New Roman" w:hAnsi="Times New Roman" w:cs="Times New Roman"/>
          <w:b/>
          <w:sz w:val="28"/>
          <w:szCs w:val="28"/>
        </w:rPr>
        <w:t>465,2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0569A9">
        <w:rPr>
          <w:rFonts w:ascii="Times New Roman" w:hAnsi="Times New Roman" w:cs="Times New Roman"/>
          <w:b/>
          <w:sz w:val="28"/>
          <w:szCs w:val="28"/>
        </w:rPr>
        <w:t>5,3</w:t>
      </w:r>
      <w:r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</w:t>
      </w:r>
      <w:r w:rsidR="000569A9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сточниками финансирования дефицита бюджета являются остатки денежных средств бюджета, по состоянию на 01.01.2021 года.</w:t>
      </w:r>
    </w:p>
    <w:p w:rsidR="00683E60" w:rsidRPr="00DB251A" w:rsidRDefault="00683E60" w:rsidP="00C01B1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0569A9">
        <w:rPr>
          <w:rFonts w:ascii="Times New Roman" w:hAnsi="Times New Roman" w:cs="Times New Roman"/>
          <w:sz w:val="28"/>
          <w:szCs w:val="28"/>
        </w:rPr>
        <w:t>28.12.2020 №27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EB5E3F">
        <w:rPr>
          <w:rFonts w:ascii="Times New Roman" w:hAnsi="Times New Roman" w:cs="Times New Roman"/>
          <w:sz w:val="28"/>
          <w:szCs w:val="28"/>
        </w:rPr>
        <w:t>1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B5E3F">
        <w:rPr>
          <w:rFonts w:ascii="Times New Roman" w:hAnsi="Times New Roman" w:cs="Times New Roman"/>
          <w:sz w:val="28"/>
          <w:szCs w:val="28"/>
        </w:rPr>
        <w:t>2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EB5E3F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D907AD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D907AD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7B0" w:rsidRDefault="001657B0" w:rsidP="00482AB3">
      <w:r>
        <w:separator/>
      </w:r>
    </w:p>
  </w:endnote>
  <w:endnote w:type="continuationSeparator" w:id="0">
    <w:p w:rsidR="001657B0" w:rsidRDefault="001657B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703108"/>
      <w:docPartObj>
        <w:docPartGallery w:val="Page Numbers (Bottom of Page)"/>
        <w:docPartUnique/>
      </w:docPartObj>
    </w:sdtPr>
    <w:sdtContent>
      <w:p w:rsidR="00441904" w:rsidRDefault="0044190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441904" w:rsidRDefault="0044190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7B0" w:rsidRDefault="001657B0" w:rsidP="00482AB3">
      <w:r>
        <w:separator/>
      </w:r>
    </w:p>
  </w:footnote>
  <w:footnote w:type="continuationSeparator" w:id="0">
    <w:p w:rsidR="001657B0" w:rsidRDefault="001657B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6D35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69A9"/>
    <w:rsid w:val="00057087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0192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57B0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EF6"/>
    <w:rsid w:val="001875DF"/>
    <w:rsid w:val="001939CA"/>
    <w:rsid w:val="00193EDB"/>
    <w:rsid w:val="0019417F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0771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115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9A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1FFE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6F06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12C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A70AD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190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20C0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5EA2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34D7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0707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5743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3CDA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C93"/>
    <w:rsid w:val="00881164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2B8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054BC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0C7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2F19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4654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B16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16F71"/>
    <w:rsid w:val="00D2020C"/>
    <w:rsid w:val="00D22681"/>
    <w:rsid w:val="00D238B6"/>
    <w:rsid w:val="00D25C50"/>
    <w:rsid w:val="00D266A0"/>
    <w:rsid w:val="00D274AD"/>
    <w:rsid w:val="00D31AE4"/>
    <w:rsid w:val="00D31E27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57BBA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7AD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3063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00E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C84D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F6A8-C138-4085-841D-33EDEB31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Pages>1</Pages>
  <Words>3164</Words>
  <Characters>18039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196</cp:revision>
  <cp:lastPrinted>2021-10-01T07:33:00Z</cp:lastPrinted>
  <dcterms:created xsi:type="dcterms:W3CDTF">2018-03-23T05:37:00Z</dcterms:created>
  <dcterms:modified xsi:type="dcterms:W3CDTF">2021-10-01T07:40:00Z</dcterms:modified>
</cp:coreProperties>
</file>