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F87A63" w:rsidRDefault="00CF72BA" w:rsidP="000632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7A63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8D2C3B" w:rsidRPr="00F87A63" w:rsidRDefault="008D2C3B" w:rsidP="000632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2BA" w:rsidRPr="00F87A63" w:rsidRDefault="00CF72BA" w:rsidP="0055485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Hlk153271208"/>
      <w:r w:rsidRPr="00F87A63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bookmarkStart w:id="1" w:name="_Hlk148516348"/>
      <w:r w:rsidR="00F749D4" w:rsidRPr="00F87A63">
        <w:rPr>
          <w:rFonts w:ascii="Times New Roman" w:hAnsi="Times New Roman" w:cs="Times New Roman"/>
          <w:b/>
          <w:sz w:val="26"/>
          <w:szCs w:val="26"/>
        </w:rPr>
        <w:t>Совета депутатов Вяземского городского поселения Вяземского района Смоленской области</w:t>
      </w:r>
      <w:r w:rsidR="00E41B37" w:rsidRPr="00F87A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547E" w:rsidRPr="00F87A63">
        <w:rPr>
          <w:rFonts w:ascii="Times New Roman" w:hAnsi="Times New Roman" w:cs="Times New Roman"/>
          <w:b/>
          <w:sz w:val="26"/>
          <w:szCs w:val="26"/>
        </w:rPr>
        <w:t>«</w:t>
      </w:r>
      <w:r w:rsidRPr="00F87A63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282B4D" w:rsidRPr="00F87A63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</w:t>
      </w:r>
      <w:r w:rsidR="00A0223F" w:rsidRPr="00F87A63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="00C22B3F" w:rsidRPr="00F87A63">
        <w:rPr>
          <w:rFonts w:ascii="Times New Roman" w:hAnsi="Times New Roman" w:cs="Times New Roman"/>
          <w:b/>
          <w:sz w:val="26"/>
          <w:szCs w:val="26"/>
        </w:rPr>
        <w:t>Вя</w:t>
      </w:r>
      <w:r w:rsidR="00F749D4" w:rsidRPr="00F87A63">
        <w:rPr>
          <w:rFonts w:ascii="Times New Roman" w:hAnsi="Times New Roman" w:cs="Times New Roman"/>
          <w:b/>
          <w:sz w:val="26"/>
          <w:szCs w:val="26"/>
        </w:rPr>
        <w:t xml:space="preserve">земского городского поселения Вяземского района Смоленской области </w:t>
      </w:r>
      <w:r w:rsidR="00282B4D" w:rsidRPr="00F87A63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BF02BF" w:rsidRPr="00F87A63">
        <w:rPr>
          <w:rFonts w:ascii="Times New Roman" w:hAnsi="Times New Roman" w:cs="Times New Roman"/>
          <w:b/>
          <w:sz w:val="26"/>
          <w:szCs w:val="26"/>
        </w:rPr>
        <w:t>26.12.2022 №84</w:t>
      </w:r>
      <w:r w:rsidR="00386B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547E" w:rsidRPr="00F87A63">
        <w:rPr>
          <w:rFonts w:ascii="Times New Roman" w:hAnsi="Times New Roman" w:cs="Times New Roman"/>
          <w:b/>
          <w:sz w:val="26"/>
          <w:szCs w:val="26"/>
        </w:rPr>
        <w:t>«</w:t>
      </w:r>
      <w:r w:rsidR="00282B4D" w:rsidRPr="00F87A63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F87A63">
        <w:rPr>
          <w:rFonts w:ascii="Times New Roman" w:hAnsi="Times New Roman" w:cs="Times New Roman"/>
          <w:b/>
          <w:sz w:val="26"/>
          <w:szCs w:val="26"/>
        </w:rPr>
        <w:t xml:space="preserve">бюджете </w:t>
      </w:r>
      <w:r w:rsidR="00F749D4" w:rsidRPr="00F87A63">
        <w:rPr>
          <w:rFonts w:ascii="Times New Roman" w:hAnsi="Times New Roman" w:cs="Times New Roman"/>
          <w:b/>
          <w:sz w:val="26"/>
          <w:szCs w:val="26"/>
        </w:rPr>
        <w:t xml:space="preserve">Вяземского городского поселения Вяземского </w:t>
      </w:r>
      <w:r w:rsidR="00BC0317" w:rsidRPr="00F87A63">
        <w:rPr>
          <w:rFonts w:ascii="Times New Roman" w:hAnsi="Times New Roman" w:cs="Times New Roman"/>
          <w:b/>
          <w:sz w:val="26"/>
          <w:szCs w:val="26"/>
        </w:rPr>
        <w:t>района Смоленской</w:t>
      </w:r>
      <w:r w:rsidR="00F749D4" w:rsidRPr="00F87A63">
        <w:rPr>
          <w:rFonts w:ascii="Times New Roman" w:hAnsi="Times New Roman" w:cs="Times New Roman"/>
          <w:b/>
          <w:sz w:val="26"/>
          <w:szCs w:val="26"/>
        </w:rPr>
        <w:t xml:space="preserve"> области </w:t>
      </w:r>
      <w:r w:rsidRPr="00F87A63">
        <w:rPr>
          <w:rFonts w:ascii="Times New Roman" w:hAnsi="Times New Roman" w:cs="Times New Roman"/>
          <w:b/>
          <w:sz w:val="26"/>
          <w:szCs w:val="26"/>
        </w:rPr>
        <w:t>на 20</w:t>
      </w:r>
      <w:r w:rsidR="00545595" w:rsidRPr="00F87A63">
        <w:rPr>
          <w:rFonts w:ascii="Times New Roman" w:hAnsi="Times New Roman" w:cs="Times New Roman"/>
          <w:b/>
          <w:sz w:val="26"/>
          <w:szCs w:val="26"/>
        </w:rPr>
        <w:t>2</w:t>
      </w:r>
      <w:r w:rsidR="00BF02BF" w:rsidRPr="00F87A63">
        <w:rPr>
          <w:rFonts w:ascii="Times New Roman" w:hAnsi="Times New Roman" w:cs="Times New Roman"/>
          <w:b/>
          <w:sz w:val="26"/>
          <w:szCs w:val="26"/>
        </w:rPr>
        <w:t xml:space="preserve">3 </w:t>
      </w:r>
      <w:r w:rsidRPr="00F87A63">
        <w:rPr>
          <w:rFonts w:ascii="Times New Roman" w:hAnsi="Times New Roman" w:cs="Times New Roman"/>
          <w:b/>
          <w:sz w:val="26"/>
          <w:szCs w:val="26"/>
        </w:rPr>
        <w:t>год</w:t>
      </w:r>
      <w:r w:rsidR="00EE7DB0" w:rsidRPr="00F87A63">
        <w:rPr>
          <w:rFonts w:ascii="Times New Roman" w:hAnsi="Times New Roman" w:cs="Times New Roman"/>
          <w:b/>
          <w:sz w:val="26"/>
          <w:szCs w:val="26"/>
        </w:rPr>
        <w:t xml:space="preserve"> и на плановый период 20</w:t>
      </w:r>
      <w:r w:rsidR="00545595" w:rsidRPr="00F87A63">
        <w:rPr>
          <w:rFonts w:ascii="Times New Roman" w:hAnsi="Times New Roman" w:cs="Times New Roman"/>
          <w:b/>
          <w:sz w:val="26"/>
          <w:szCs w:val="26"/>
        </w:rPr>
        <w:t>2</w:t>
      </w:r>
      <w:r w:rsidR="00BF02BF" w:rsidRPr="00F87A63">
        <w:rPr>
          <w:rFonts w:ascii="Times New Roman" w:hAnsi="Times New Roman" w:cs="Times New Roman"/>
          <w:b/>
          <w:sz w:val="26"/>
          <w:szCs w:val="26"/>
        </w:rPr>
        <w:t>4</w:t>
      </w:r>
      <w:r w:rsidR="00EE7DB0" w:rsidRPr="00F87A63">
        <w:rPr>
          <w:rFonts w:ascii="Times New Roman" w:hAnsi="Times New Roman" w:cs="Times New Roman"/>
          <w:b/>
          <w:sz w:val="26"/>
          <w:szCs w:val="26"/>
        </w:rPr>
        <w:t xml:space="preserve"> и 20</w:t>
      </w:r>
      <w:r w:rsidR="00594B6B" w:rsidRPr="00F87A63">
        <w:rPr>
          <w:rFonts w:ascii="Times New Roman" w:hAnsi="Times New Roman" w:cs="Times New Roman"/>
          <w:b/>
          <w:sz w:val="26"/>
          <w:szCs w:val="26"/>
        </w:rPr>
        <w:t>2</w:t>
      </w:r>
      <w:r w:rsidR="00BF02BF" w:rsidRPr="00F87A63">
        <w:rPr>
          <w:rFonts w:ascii="Times New Roman" w:hAnsi="Times New Roman" w:cs="Times New Roman"/>
          <w:b/>
          <w:sz w:val="26"/>
          <w:szCs w:val="26"/>
        </w:rPr>
        <w:t>5</w:t>
      </w:r>
      <w:r w:rsidR="00EE7DB0" w:rsidRPr="00F87A63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="001D547E" w:rsidRPr="00F87A63">
        <w:rPr>
          <w:rFonts w:ascii="Times New Roman" w:hAnsi="Times New Roman" w:cs="Times New Roman"/>
          <w:b/>
          <w:sz w:val="26"/>
          <w:szCs w:val="26"/>
        </w:rPr>
        <w:t>»</w:t>
      </w:r>
      <w:bookmarkEnd w:id="1"/>
      <w:bookmarkEnd w:id="0"/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E41B37" w:rsidRPr="00E41B37" w:rsidTr="00E41B37">
        <w:tc>
          <w:tcPr>
            <w:tcW w:w="4785" w:type="dxa"/>
          </w:tcPr>
          <w:p w:rsidR="00E41B37" w:rsidRPr="00E41B37" w:rsidRDefault="00E41B37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1B37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E41B37" w:rsidRPr="00E41B37" w:rsidRDefault="00A07F6E" w:rsidP="00E41B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386B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3C5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41B37" w:rsidRPr="00E41B37">
              <w:rPr>
                <w:rFonts w:ascii="Times New Roman" w:hAnsi="Times New Roman" w:cs="Times New Roman"/>
                <w:sz w:val="20"/>
                <w:szCs w:val="20"/>
              </w:rPr>
              <w:t>.2023 года</w:t>
            </w:r>
          </w:p>
        </w:tc>
      </w:tr>
    </w:tbl>
    <w:p w:rsidR="00E41B37" w:rsidRPr="00EA7F4F" w:rsidRDefault="00E41B37" w:rsidP="007B1C6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2621D6" w:rsidRPr="00F87A63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A63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2621D6" w:rsidRPr="00F87A63" w:rsidRDefault="002E1F24" w:rsidP="00915BE6">
      <w:pPr>
        <w:pStyle w:val="a3"/>
        <w:numPr>
          <w:ilvl w:val="0"/>
          <w:numId w:val="13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sz w:val="24"/>
          <w:szCs w:val="24"/>
        </w:rPr>
        <w:t>ст</w:t>
      </w:r>
      <w:r w:rsidR="00A2313D" w:rsidRPr="00F87A63">
        <w:rPr>
          <w:rFonts w:ascii="Times New Roman" w:hAnsi="Times New Roman" w:cs="Times New Roman"/>
          <w:sz w:val="24"/>
          <w:szCs w:val="24"/>
        </w:rPr>
        <w:t xml:space="preserve">атья </w:t>
      </w:r>
      <w:r w:rsidRPr="00F87A63">
        <w:rPr>
          <w:rFonts w:ascii="Times New Roman" w:hAnsi="Times New Roman" w:cs="Times New Roman"/>
          <w:sz w:val="24"/>
          <w:szCs w:val="24"/>
        </w:rPr>
        <w:t>265 Бюджетного кодекса Российской Федерации</w:t>
      </w:r>
      <w:r w:rsidR="002621D6" w:rsidRPr="00F87A63">
        <w:rPr>
          <w:rFonts w:ascii="Times New Roman" w:hAnsi="Times New Roman" w:cs="Times New Roman"/>
          <w:sz w:val="24"/>
          <w:szCs w:val="24"/>
        </w:rPr>
        <w:t>;</w:t>
      </w:r>
    </w:p>
    <w:p w:rsidR="002621D6" w:rsidRPr="00F87A63" w:rsidRDefault="002E1F24" w:rsidP="00915BE6">
      <w:pPr>
        <w:pStyle w:val="a3"/>
        <w:numPr>
          <w:ilvl w:val="0"/>
          <w:numId w:val="13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sz w:val="24"/>
          <w:szCs w:val="24"/>
        </w:rPr>
        <w:t>ст</w:t>
      </w:r>
      <w:r w:rsidR="00A2313D" w:rsidRPr="00F87A63">
        <w:rPr>
          <w:rFonts w:ascii="Times New Roman" w:hAnsi="Times New Roman" w:cs="Times New Roman"/>
          <w:sz w:val="24"/>
          <w:szCs w:val="24"/>
        </w:rPr>
        <w:t xml:space="preserve">атья </w:t>
      </w:r>
      <w:r w:rsidRPr="00F87A63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Pr="00F87A6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F87A63">
        <w:rPr>
          <w:rFonts w:ascii="Times New Roman" w:hAnsi="Times New Roman" w:cs="Times New Roman"/>
          <w:sz w:val="24"/>
          <w:szCs w:val="24"/>
        </w:rPr>
        <w:t>»</w:t>
      </w:r>
      <w:r w:rsidR="002621D6" w:rsidRPr="00F87A63">
        <w:rPr>
          <w:rFonts w:ascii="Times New Roman" w:hAnsi="Times New Roman" w:cs="Times New Roman"/>
          <w:sz w:val="24"/>
          <w:szCs w:val="24"/>
        </w:rPr>
        <w:t>;</w:t>
      </w:r>
    </w:p>
    <w:p w:rsidR="002621D6" w:rsidRPr="00F87A63" w:rsidRDefault="002E1F24" w:rsidP="00915BE6">
      <w:pPr>
        <w:pStyle w:val="a3"/>
        <w:numPr>
          <w:ilvl w:val="0"/>
          <w:numId w:val="13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sz w:val="24"/>
          <w:szCs w:val="24"/>
        </w:rPr>
        <w:t xml:space="preserve">соглашение </w:t>
      </w:r>
      <w:r w:rsidR="002621D6" w:rsidRPr="00F87A63">
        <w:rPr>
          <w:rFonts w:ascii="Times New Roman" w:hAnsi="Times New Roman" w:cs="Times New Roman"/>
          <w:sz w:val="24"/>
          <w:szCs w:val="24"/>
        </w:rPr>
        <w:t>от 28.12.2021 №1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Вяземского городского поселения Вяземского района Смоленской области по осуществлению внешнего муниципального финансового контроля»;</w:t>
      </w:r>
    </w:p>
    <w:p w:rsidR="002621D6" w:rsidRPr="00F87A63" w:rsidRDefault="009B1D41" w:rsidP="00915BE6">
      <w:pPr>
        <w:pStyle w:val="a3"/>
        <w:numPr>
          <w:ilvl w:val="0"/>
          <w:numId w:val="13"/>
        </w:numPr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63">
        <w:rPr>
          <w:rFonts w:ascii="Times New Roman" w:hAnsi="Times New Roman" w:cs="Times New Roman"/>
          <w:sz w:val="24"/>
          <w:szCs w:val="24"/>
        </w:rPr>
        <w:t>п</w:t>
      </w:r>
      <w:r w:rsidR="00A2313D" w:rsidRPr="00F87A63">
        <w:rPr>
          <w:rFonts w:ascii="Times New Roman" w:hAnsi="Times New Roman" w:cs="Times New Roman"/>
          <w:sz w:val="24"/>
          <w:szCs w:val="24"/>
        </w:rPr>
        <w:t xml:space="preserve">ункт </w:t>
      </w:r>
      <w:r w:rsidR="002E1F24" w:rsidRPr="00F87A63">
        <w:rPr>
          <w:rFonts w:ascii="Times New Roman" w:hAnsi="Times New Roman" w:cs="Times New Roman"/>
          <w:sz w:val="24"/>
          <w:szCs w:val="24"/>
        </w:rPr>
        <w:t>2.</w:t>
      </w:r>
      <w:r w:rsidR="003414A2" w:rsidRPr="00F87A63">
        <w:rPr>
          <w:rFonts w:ascii="Times New Roman" w:hAnsi="Times New Roman" w:cs="Times New Roman"/>
          <w:sz w:val="24"/>
          <w:szCs w:val="24"/>
        </w:rPr>
        <w:t>5</w:t>
      </w:r>
      <w:r w:rsidR="002E1F24" w:rsidRPr="00F87A63">
        <w:rPr>
          <w:rFonts w:ascii="Times New Roman" w:hAnsi="Times New Roman" w:cs="Times New Roman"/>
          <w:sz w:val="24"/>
          <w:szCs w:val="24"/>
        </w:rPr>
        <w:t xml:space="preserve">.1 Плана работы Контрольно-ревизионной комиссии </w:t>
      </w:r>
      <w:r w:rsidR="007B1C6E" w:rsidRPr="00F87A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="007B1C6E" w:rsidRPr="00F87A63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F87A63">
        <w:rPr>
          <w:rFonts w:ascii="Times New Roman" w:hAnsi="Times New Roman" w:cs="Times New Roman"/>
          <w:sz w:val="24"/>
          <w:szCs w:val="24"/>
        </w:rPr>
        <w:t>»</w:t>
      </w:r>
      <w:r w:rsidR="007B1C6E" w:rsidRPr="00F87A63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E1F24" w:rsidRPr="00F87A63">
        <w:rPr>
          <w:rFonts w:ascii="Times New Roman" w:hAnsi="Times New Roman" w:cs="Times New Roman"/>
          <w:sz w:val="24"/>
          <w:szCs w:val="24"/>
        </w:rPr>
        <w:t>на 20</w:t>
      </w:r>
      <w:r w:rsidR="009429BA" w:rsidRPr="00F87A63">
        <w:rPr>
          <w:rFonts w:ascii="Times New Roman" w:hAnsi="Times New Roman" w:cs="Times New Roman"/>
          <w:sz w:val="24"/>
          <w:szCs w:val="24"/>
        </w:rPr>
        <w:t>2</w:t>
      </w:r>
      <w:r w:rsidR="00BF02BF" w:rsidRPr="00F87A63">
        <w:rPr>
          <w:rFonts w:ascii="Times New Roman" w:hAnsi="Times New Roman" w:cs="Times New Roman"/>
          <w:sz w:val="24"/>
          <w:szCs w:val="24"/>
        </w:rPr>
        <w:t>3</w:t>
      </w:r>
      <w:r w:rsidR="002E1F24" w:rsidRPr="00F87A63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F87A63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F8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утвержденного приказом</w:t>
      </w:r>
      <w:r w:rsidR="00E41B37" w:rsidRPr="00F8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42E0" w:rsidRPr="00F8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Контрольно-ревизионной комиссии</w:t>
      </w:r>
      <w:r w:rsidR="00406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21D6" w:rsidRPr="00F87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F02BF" w:rsidRPr="00F87A63">
        <w:rPr>
          <w:rFonts w:ascii="Times New Roman" w:eastAsia="Times New Roman" w:hAnsi="Times New Roman" w:cs="Times New Roman"/>
          <w:sz w:val="24"/>
          <w:szCs w:val="24"/>
          <w:lang w:eastAsia="ru-RU"/>
        </w:rPr>
        <w:t>23.12.2022 №59</w:t>
      </w:r>
      <w:r w:rsidR="002621D6" w:rsidRPr="00F87A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FE4" w:rsidRPr="00F87A63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F87A63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406769" w:rsidRDefault="00D4378E" w:rsidP="00915BE6">
      <w:pPr>
        <w:pStyle w:val="a8"/>
        <w:numPr>
          <w:ilvl w:val="0"/>
          <w:numId w:val="14"/>
        </w:numPr>
        <w:ind w:left="0"/>
        <w:jc w:val="both"/>
        <w:rPr>
          <w:b/>
        </w:rPr>
      </w:pPr>
      <w:r w:rsidRPr="00F87A63">
        <w:t>определение достоверности и обоснованности показателей вносимых изменений в бюджет городского поселения на очередной финансовый год и плановый период</w:t>
      </w:r>
      <w:r w:rsidR="00A24FE4" w:rsidRPr="00F87A63">
        <w:t>;</w:t>
      </w:r>
    </w:p>
    <w:p w:rsidR="00AC09EE" w:rsidRPr="00406769" w:rsidRDefault="00A24FE4" w:rsidP="00915BE6">
      <w:pPr>
        <w:pStyle w:val="a8"/>
        <w:numPr>
          <w:ilvl w:val="0"/>
          <w:numId w:val="14"/>
        </w:numPr>
        <w:ind w:left="0"/>
        <w:jc w:val="both"/>
        <w:rPr>
          <w:rFonts w:eastAsia="Calibri"/>
          <w:color w:val="000000"/>
        </w:rPr>
      </w:pPr>
      <w:r w:rsidRPr="00406769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F87A63" w:rsidRDefault="009B1D41" w:rsidP="007A1BD5">
      <w:pPr>
        <w:ind w:firstLine="709"/>
        <w:jc w:val="both"/>
        <w:rPr>
          <w:b/>
        </w:rPr>
      </w:pPr>
      <w:r w:rsidRPr="00F87A63">
        <w:rPr>
          <w:b/>
        </w:rPr>
        <w:t>Нормативно-правовая база:</w:t>
      </w:r>
    </w:p>
    <w:p w:rsidR="009B1D41" w:rsidRPr="00F87A63" w:rsidRDefault="009B1D41" w:rsidP="00915BE6">
      <w:pPr>
        <w:pStyle w:val="a3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F87A63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F87A6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F87A63" w:rsidRDefault="009B1D41" w:rsidP="00915BE6">
      <w:pPr>
        <w:pStyle w:val="a3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Pr="00F87A6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F87A63">
        <w:rPr>
          <w:rFonts w:ascii="Times New Roman" w:hAnsi="Times New Roman" w:cs="Times New Roman"/>
          <w:sz w:val="24"/>
          <w:szCs w:val="24"/>
        </w:rPr>
        <w:t>»</w:t>
      </w:r>
      <w:r w:rsidRPr="00F87A6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F87A63" w:rsidRDefault="009B1D41" w:rsidP="00915BE6">
      <w:pPr>
        <w:pStyle w:val="a3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Pr="00F87A6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F87A63">
        <w:rPr>
          <w:rFonts w:ascii="Times New Roman" w:hAnsi="Times New Roman" w:cs="Times New Roman"/>
          <w:sz w:val="24"/>
          <w:szCs w:val="24"/>
        </w:rPr>
        <w:t>»</w:t>
      </w:r>
      <w:r w:rsidRPr="00F87A6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F87A63" w:rsidRDefault="009B1D41" w:rsidP="00915BE6">
      <w:pPr>
        <w:pStyle w:val="a3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A63">
        <w:rPr>
          <w:rFonts w:ascii="Times New Roman" w:hAnsi="Times New Roman" w:cs="Times New Roman"/>
          <w:sz w:val="24"/>
          <w:szCs w:val="24"/>
        </w:rPr>
        <w:t>Положение о бюджетном процессе в муниципальном образовании Вяземское городское поселение Вяземского района Смоленской области</w:t>
      </w:r>
      <w:r w:rsidR="000E26E8" w:rsidRPr="00F87A63">
        <w:rPr>
          <w:rFonts w:ascii="Times New Roman" w:hAnsi="Times New Roman" w:cs="Times New Roman"/>
          <w:sz w:val="24"/>
          <w:szCs w:val="24"/>
        </w:rPr>
        <w:t>, утвержденное решением Совета депутатов Вяземского городского поселения Вяземского района Смоленской области от 01.11.2018 №96</w:t>
      </w:r>
      <w:r w:rsidR="00406769">
        <w:rPr>
          <w:rFonts w:ascii="Times New Roman" w:hAnsi="Times New Roman" w:cs="Times New Roman"/>
          <w:sz w:val="24"/>
          <w:szCs w:val="24"/>
        </w:rPr>
        <w:t xml:space="preserve"> </w:t>
      </w:r>
      <w:r w:rsidR="00545595" w:rsidRPr="00F87A63">
        <w:rPr>
          <w:rFonts w:ascii="Times New Roman" w:hAnsi="Times New Roman" w:cs="Times New Roman"/>
          <w:sz w:val="24"/>
          <w:szCs w:val="24"/>
        </w:rPr>
        <w:t xml:space="preserve">(с изменениями) </w:t>
      </w:r>
      <w:r w:rsidR="00EB4797" w:rsidRPr="00F87A63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F87A63">
        <w:rPr>
          <w:rFonts w:ascii="Times New Roman" w:hAnsi="Times New Roman" w:cs="Times New Roman"/>
          <w:sz w:val="24"/>
          <w:szCs w:val="24"/>
        </w:rPr>
        <w:t>.</w:t>
      </w:r>
    </w:p>
    <w:p w:rsidR="008725AC" w:rsidRPr="00F87A63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F87A63">
        <w:rPr>
          <w:rFonts w:ascii="Times New Roman" w:hAnsi="Times New Roman" w:cs="Times New Roman"/>
          <w:sz w:val="24"/>
          <w:szCs w:val="24"/>
        </w:rPr>
        <w:t>п</w:t>
      </w:r>
      <w:r w:rsidR="0056745F" w:rsidRPr="00F87A63">
        <w:rPr>
          <w:rFonts w:ascii="Times New Roman" w:hAnsi="Times New Roman" w:cs="Times New Roman"/>
          <w:sz w:val="24"/>
          <w:szCs w:val="24"/>
        </w:rPr>
        <w:t xml:space="preserve">роект решения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bookmarkStart w:id="2" w:name="_Hlk65045169"/>
      <w:r w:rsidR="0056745F" w:rsidRPr="00F87A63">
        <w:rPr>
          <w:rFonts w:ascii="Times New Roman" w:hAnsi="Times New Roman" w:cs="Times New Roman"/>
          <w:sz w:val="24"/>
          <w:szCs w:val="24"/>
        </w:rPr>
        <w:t>О внесении изменений в решение Совета депутатов Вяземского городского поселения Вяземского района С</w:t>
      </w:r>
      <w:r w:rsidR="00A0223F" w:rsidRPr="00F87A63">
        <w:rPr>
          <w:rFonts w:ascii="Times New Roman" w:hAnsi="Times New Roman" w:cs="Times New Roman"/>
          <w:sz w:val="24"/>
          <w:szCs w:val="24"/>
        </w:rPr>
        <w:t xml:space="preserve">моленской области от </w:t>
      </w:r>
      <w:r w:rsidR="00BF02BF" w:rsidRPr="00F87A63">
        <w:rPr>
          <w:rFonts w:ascii="Times New Roman" w:hAnsi="Times New Roman" w:cs="Times New Roman"/>
          <w:sz w:val="24"/>
          <w:szCs w:val="24"/>
        </w:rPr>
        <w:t>26.12.2022 №84</w:t>
      </w:r>
      <w:r w:rsidR="00406769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="0056745F" w:rsidRPr="00F87A63">
        <w:rPr>
          <w:rFonts w:ascii="Times New Roman" w:hAnsi="Times New Roman" w:cs="Times New Roman"/>
          <w:sz w:val="24"/>
          <w:szCs w:val="24"/>
        </w:rPr>
        <w:t xml:space="preserve">О бюджете Вяземского городского поселения Вяземского </w:t>
      </w:r>
      <w:r w:rsidR="00AC09EE" w:rsidRPr="00F87A63">
        <w:rPr>
          <w:rFonts w:ascii="Times New Roman" w:hAnsi="Times New Roman" w:cs="Times New Roman"/>
          <w:sz w:val="24"/>
          <w:szCs w:val="24"/>
        </w:rPr>
        <w:t>р</w:t>
      </w:r>
      <w:r w:rsidR="00545595" w:rsidRPr="00F87A63">
        <w:rPr>
          <w:rFonts w:ascii="Times New Roman" w:hAnsi="Times New Roman" w:cs="Times New Roman"/>
          <w:sz w:val="24"/>
          <w:szCs w:val="24"/>
        </w:rPr>
        <w:t>айона Смоленской области на 202</w:t>
      </w:r>
      <w:r w:rsidR="00BF02BF" w:rsidRPr="00F87A63">
        <w:rPr>
          <w:rFonts w:ascii="Times New Roman" w:hAnsi="Times New Roman" w:cs="Times New Roman"/>
          <w:sz w:val="24"/>
          <w:szCs w:val="24"/>
        </w:rPr>
        <w:t>3</w:t>
      </w:r>
      <w:r w:rsidR="00406769">
        <w:rPr>
          <w:rFonts w:ascii="Times New Roman" w:hAnsi="Times New Roman" w:cs="Times New Roman"/>
          <w:sz w:val="24"/>
          <w:szCs w:val="24"/>
        </w:rPr>
        <w:t xml:space="preserve"> </w:t>
      </w:r>
      <w:r w:rsidR="0056745F" w:rsidRPr="00F87A63">
        <w:rPr>
          <w:rFonts w:ascii="Times New Roman" w:hAnsi="Times New Roman" w:cs="Times New Roman"/>
          <w:sz w:val="24"/>
          <w:szCs w:val="24"/>
        </w:rPr>
        <w:t>год</w:t>
      </w:r>
      <w:r w:rsidR="00EE7DB0" w:rsidRPr="00F87A63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EB4797" w:rsidRPr="00F87A63">
        <w:rPr>
          <w:rFonts w:ascii="Times New Roman" w:hAnsi="Times New Roman" w:cs="Times New Roman"/>
          <w:sz w:val="24"/>
          <w:szCs w:val="24"/>
        </w:rPr>
        <w:t>2</w:t>
      </w:r>
      <w:r w:rsidR="00BF02BF" w:rsidRPr="00F87A63">
        <w:rPr>
          <w:rFonts w:ascii="Times New Roman" w:hAnsi="Times New Roman" w:cs="Times New Roman"/>
          <w:sz w:val="24"/>
          <w:szCs w:val="24"/>
        </w:rPr>
        <w:t>4</w:t>
      </w:r>
      <w:r w:rsidR="00EE7DB0" w:rsidRPr="00F87A63">
        <w:rPr>
          <w:rFonts w:ascii="Times New Roman" w:hAnsi="Times New Roman" w:cs="Times New Roman"/>
          <w:sz w:val="24"/>
          <w:szCs w:val="24"/>
        </w:rPr>
        <w:t xml:space="preserve"> и 20</w:t>
      </w:r>
      <w:r w:rsidR="00AC09EE" w:rsidRPr="00F87A63">
        <w:rPr>
          <w:rFonts w:ascii="Times New Roman" w:hAnsi="Times New Roman" w:cs="Times New Roman"/>
          <w:sz w:val="24"/>
          <w:szCs w:val="24"/>
        </w:rPr>
        <w:t>2</w:t>
      </w:r>
      <w:r w:rsidR="00BF02BF" w:rsidRPr="00F87A63">
        <w:rPr>
          <w:rFonts w:ascii="Times New Roman" w:hAnsi="Times New Roman" w:cs="Times New Roman"/>
          <w:sz w:val="24"/>
          <w:szCs w:val="24"/>
        </w:rPr>
        <w:t>5</w:t>
      </w:r>
      <w:r w:rsidR="00EE7DB0" w:rsidRPr="00F87A63">
        <w:rPr>
          <w:rFonts w:ascii="Times New Roman" w:hAnsi="Times New Roman" w:cs="Times New Roman"/>
          <w:sz w:val="24"/>
          <w:szCs w:val="24"/>
        </w:rPr>
        <w:t xml:space="preserve"> годов</w:t>
      </w:r>
      <w:bookmarkEnd w:id="2"/>
      <w:r w:rsidR="001D547E" w:rsidRPr="00F87A63">
        <w:rPr>
          <w:rFonts w:ascii="Times New Roman" w:hAnsi="Times New Roman" w:cs="Times New Roman"/>
          <w:sz w:val="24"/>
          <w:szCs w:val="24"/>
        </w:rPr>
        <w:t>»</w:t>
      </w:r>
      <w:r w:rsidR="00090070">
        <w:rPr>
          <w:rFonts w:ascii="Times New Roman" w:hAnsi="Times New Roman" w:cs="Times New Roman"/>
          <w:sz w:val="24"/>
          <w:szCs w:val="24"/>
        </w:rPr>
        <w:t xml:space="preserve"> (далее – проект решения о бюджете)</w:t>
      </w:r>
      <w:r w:rsidRPr="00F87A63">
        <w:rPr>
          <w:rFonts w:ascii="Times New Roman" w:hAnsi="Times New Roman" w:cs="Times New Roman"/>
          <w:sz w:val="24"/>
          <w:szCs w:val="24"/>
        </w:rPr>
        <w:t>.</w:t>
      </w:r>
      <w:r w:rsidR="00406769">
        <w:rPr>
          <w:rFonts w:ascii="Times New Roman" w:hAnsi="Times New Roman" w:cs="Times New Roman"/>
          <w:sz w:val="24"/>
          <w:szCs w:val="24"/>
        </w:rPr>
        <w:t xml:space="preserve"> </w:t>
      </w:r>
      <w:r w:rsidR="008725AC" w:rsidRPr="00F87A63">
        <w:rPr>
          <w:rFonts w:ascii="Times New Roman" w:hAnsi="Times New Roman" w:cs="Times New Roman"/>
          <w:sz w:val="24"/>
          <w:szCs w:val="24"/>
        </w:rPr>
        <w:t xml:space="preserve">С проектом решения предоставлена </w:t>
      </w:r>
      <w:r w:rsidR="00E467E0" w:rsidRPr="00F87A63">
        <w:rPr>
          <w:rFonts w:ascii="Times New Roman" w:hAnsi="Times New Roman" w:cs="Times New Roman"/>
          <w:sz w:val="24"/>
          <w:szCs w:val="24"/>
        </w:rPr>
        <w:t>пояснительная записка и приложения к проекту решения.</w:t>
      </w:r>
    </w:p>
    <w:p w:rsidR="00EB4797" w:rsidRPr="00F87A63" w:rsidRDefault="00EB4797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915BE6">
        <w:rPr>
          <w:rFonts w:ascii="Times New Roman" w:hAnsi="Times New Roman" w:cs="Times New Roman"/>
          <w:sz w:val="24"/>
          <w:szCs w:val="24"/>
        </w:rPr>
        <w:t>.</w:t>
      </w:r>
      <w:r w:rsidRPr="00F87A63">
        <w:rPr>
          <w:rFonts w:ascii="Times New Roman" w:hAnsi="Times New Roman" w:cs="Times New Roman"/>
          <w:sz w:val="24"/>
          <w:szCs w:val="24"/>
        </w:rPr>
        <w:t>1 ст</w:t>
      </w:r>
      <w:r w:rsidR="00915BE6">
        <w:rPr>
          <w:rFonts w:ascii="Times New Roman" w:hAnsi="Times New Roman" w:cs="Times New Roman"/>
          <w:sz w:val="24"/>
          <w:szCs w:val="24"/>
        </w:rPr>
        <w:t>.</w:t>
      </w:r>
      <w:r w:rsidRPr="00F87A63">
        <w:rPr>
          <w:rFonts w:ascii="Times New Roman" w:hAnsi="Times New Roman" w:cs="Times New Roman"/>
          <w:sz w:val="24"/>
          <w:szCs w:val="24"/>
        </w:rPr>
        <w:t>13 Положения о бюджетном процессе проект</w:t>
      </w:r>
      <w:r w:rsidR="00406769">
        <w:rPr>
          <w:rFonts w:ascii="Times New Roman" w:hAnsi="Times New Roman" w:cs="Times New Roman"/>
          <w:sz w:val="24"/>
          <w:szCs w:val="24"/>
        </w:rPr>
        <w:t xml:space="preserve"> </w:t>
      </w:r>
      <w:r w:rsidRPr="00F87A63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бюджет </w:t>
      </w:r>
      <w:r w:rsidR="0056745F" w:rsidRPr="00F87A63">
        <w:rPr>
          <w:rFonts w:ascii="Times New Roman" w:hAnsi="Times New Roman" w:cs="Times New Roman"/>
          <w:sz w:val="24"/>
          <w:szCs w:val="24"/>
        </w:rPr>
        <w:t xml:space="preserve">подготовлен Администрацией муниципального образования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="0056745F" w:rsidRPr="00F87A63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F87A63">
        <w:rPr>
          <w:rFonts w:ascii="Times New Roman" w:hAnsi="Times New Roman" w:cs="Times New Roman"/>
          <w:sz w:val="24"/>
          <w:szCs w:val="24"/>
        </w:rPr>
        <w:t>»</w:t>
      </w:r>
      <w:r w:rsidR="0056745F" w:rsidRPr="00F87A63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406769">
        <w:rPr>
          <w:rFonts w:ascii="Times New Roman" w:hAnsi="Times New Roman" w:cs="Times New Roman"/>
          <w:sz w:val="24"/>
          <w:szCs w:val="24"/>
        </w:rPr>
        <w:t xml:space="preserve"> </w:t>
      </w:r>
      <w:r w:rsidR="0056745F" w:rsidRPr="00F87A63">
        <w:rPr>
          <w:rFonts w:ascii="Times New Roman" w:hAnsi="Times New Roman" w:cs="Times New Roman"/>
          <w:sz w:val="24"/>
          <w:szCs w:val="24"/>
        </w:rPr>
        <w:t xml:space="preserve">и направлен в </w:t>
      </w:r>
      <w:r w:rsidR="008C3C16" w:rsidRPr="00F87A63">
        <w:rPr>
          <w:rFonts w:ascii="Times New Roman" w:hAnsi="Times New Roman" w:cs="Times New Roman"/>
          <w:sz w:val="24"/>
          <w:szCs w:val="24"/>
        </w:rPr>
        <w:t xml:space="preserve">Контрольно-ревизионную </w:t>
      </w:r>
      <w:r w:rsidR="008C3C16" w:rsidRPr="00F87A63">
        <w:rPr>
          <w:rFonts w:ascii="Times New Roman" w:hAnsi="Times New Roman" w:cs="Times New Roman"/>
          <w:sz w:val="24"/>
          <w:szCs w:val="24"/>
        </w:rPr>
        <w:lastRenderedPageBreak/>
        <w:t xml:space="preserve">комиссию </w:t>
      </w:r>
      <w:r w:rsidR="0056745F" w:rsidRPr="00F87A63">
        <w:rPr>
          <w:rFonts w:ascii="Times New Roman" w:hAnsi="Times New Roman" w:cs="Times New Roman"/>
          <w:sz w:val="24"/>
          <w:szCs w:val="24"/>
        </w:rPr>
        <w:t xml:space="preserve">Главой муниципального образования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Pr="00F87A63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F87A63">
        <w:rPr>
          <w:rFonts w:ascii="Times New Roman" w:hAnsi="Times New Roman" w:cs="Times New Roman"/>
          <w:sz w:val="24"/>
          <w:szCs w:val="24"/>
        </w:rPr>
        <w:t>»</w:t>
      </w:r>
      <w:r w:rsidR="00576D00" w:rsidRPr="00F87A63">
        <w:rPr>
          <w:rFonts w:ascii="Times New Roman" w:hAnsi="Times New Roman" w:cs="Times New Roman"/>
          <w:sz w:val="24"/>
          <w:szCs w:val="24"/>
        </w:rPr>
        <w:t xml:space="preserve"> Смоленской области (вх. </w:t>
      </w:r>
      <w:r w:rsidRPr="00F87A63">
        <w:rPr>
          <w:rFonts w:ascii="Times New Roman" w:hAnsi="Times New Roman" w:cs="Times New Roman"/>
          <w:sz w:val="24"/>
          <w:szCs w:val="24"/>
        </w:rPr>
        <w:t xml:space="preserve">от </w:t>
      </w:r>
      <w:r w:rsidR="00683C5B">
        <w:rPr>
          <w:rFonts w:ascii="Times New Roman" w:hAnsi="Times New Roman" w:cs="Times New Roman"/>
          <w:sz w:val="24"/>
          <w:szCs w:val="24"/>
        </w:rPr>
        <w:t>07</w:t>
      </w:r>
      <w:r w:rsidR="00BF02BF" w:rsidRPr="00F87A63">
        <w:rPr>
          <w:rFonts w:ascii="Times New Roman" w:hAnsi="Times New Roman" w:cs="Times New Roman"/>
          <w:sz w:val="24"/>
          <w:szCs w:val="24"/>
        </w:rPr>
        <w:t>.</w:t>
      </w:r>
      <w:r w:rsidR="00406769">
        <w:rPr>
          <w:rFonts w:ascii="Times New Roman" w:hAnsi="Times New Roman" w:cs="Times New Roman"/>
          <w:sz w:val="24"/>
          <w:szCs w:val="24"/>
        </w:rPr>
        <w:t>1</w:t>
      </w:r>
      <w:r w:rsidR="00683C5B">
        <w:rPr>
          <w:rFonts w:ascii="Times New Roman" w:hAnsi="Times New Roman" w:cs="Times New Roman"/>
          <w:sz w:val="24"/>
          <w:szCs w:val="24"/>
        </w:rPr>
        <w:t>2</w:t>
      </w:r>
      <w:r w:rsidR="00BF02BF" w:rsidRPr="00F87A63">
        <w:rPr>
          <w:rFonts w:ascii="Times New Roman" w:hAnsi="Times New Roman" w:cs="Times New Roman"/>
          <w:sz w:val="24"/>
          <w:szCs w:val="24"/>
        </w:rPr>
        <w:t>.2023 №</w:t>
      </w:r>
      <w:r w:rsidR="00683C5B">
        <w:rPr>
          <w:rFonts w:ascii="Times New Roman" w:hAnsi="Times New Roman" w:cs="Times New Roman"/>
          <w:sz w:val="24"/>
          <w:szCs w:val="24"/>
        </w:rPr>
        <w:t>214</w:t>
      </w:r>
      <w:r w:rsidR="00175A45" w:rsidRPr="00F87A63">
        <w:rPr>
          <w:rFonts w:ascii="Times New Roman" w:hAnsi="Times New Roman" w:cs="Times New Roman"/>
          <w:sz w:val="24"/>
          <w:szCs w:val="24"/>
        </w:rPr>
        <w:t>)</w:t>
      </w:r>
      <w:r w:rsidR="007B1C6E" w:rsidRPr="00F87A63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0E26E8" w:rsidRPr="00F87A63" w:rsidRDefault="000E26E8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A63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Вяземского городского поселения Вяземского района Смоленской области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Pr="00F87A63">
        <w:rPr>
          <w:rFonts w:ascii="Times New Roman" w:hAnsi="Times New Roman" w:cs="Times New Roman"/>
          <w:sz w:val="24"/>
          <w:szCs w:val="24"/>
        </w:rPr>
        <w:t xml:space="preserve">О внесении изменений в </w:t>
      </w:r>
      <w:bookmarkStart w:id="3" w:name="_Hlk129692567"/>
      <w:r w:rsidRPr="00F87A63">
        <w:rPr>
          <w:rFonts w:ascii="Times New Roman" w:hAnsi="Times New Roman" w:cs="Times New Roman"/>
          <w:sz w:val="24"/>
          <w:szCs w:val="24"/>
        </w:rPr>
        <w:t xml:space="preserve">решение Совета депутатов Вяземского городского поселения Вяземского района Смоленской области от </w:t>
      </w:r>
      <w:r w:rsidR="00BF02BF" w:rsidRPr="00F87A63">
        <w:rPr>
          <w:rFonts w:ascii="Times New Roman" w:hAnsi="Times New Roman" w:cs="Times New Roman"/>
          <w:sz w:val="24"/>
          <w:szCs w:val="24"/>
        </w:rPr>
        <w:t>26.12.2022 №84</w:t>
      </w:r>
      <w:r w:rsidR="00090070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Pr="00F87A63">
        <w:rPr>
          <w:rFonts w:ascii="Times New Roman" w:hAnsi="Times New Roman" w:cs="Times New Roman"/>
          <w:sz w:val="24"/>
          <w:szCs w:val="24"/>
        </w:rPr>
        <w:t>О бюджете Вяземского городского поселения Вяземского района Смоленской области на 20</w:t>
      </w:r>
      <w:r w:rsidR="00545595" w:rsidRPr="00F87A63">
        <w:rPr>
          <w:rFonts w:ascii="Times New Roman" w:hAnsi="Times New Roman" w:cs="Times New Roman"/>
          <w:sz w:val="24"/>
          <w:szCs w:val="24"/>
        </w:rPr>
        <w:t>2</w:t>
      </w:r>
      <w:r w:rsidR="00BF02BF" w:rsidRPr="00F87A63">
        <w:rPr>
          <w:rFonts w:ascii="Times New Roman" w:hAnsi="Times New Roman" w:cs="Times New Roman"/>
          <w:sz w:val="24"/>
          <w:szCs w:val="24"/>
        </w:rPr>
        <w:t>3</w:t>
      </w:r>
      <w:r w:rsidR="00386BB9">
        <w:rPr>
          <w:rFonts w:ascii="Times New Roman" w:hAnsi="Times New Roman" w:cs="Times New Roman"/>
          <w:sz w:val="24"/>
          <w:szCs w:val="24"/>
        </w:rPr>
        <w:t xml:space="preserve"> </w:t>
      </w:r>
      <w:r w:rsidRPr="00F87A63">
        <w:rPr>
          <w:rFonts w:ascii="Times New Roman" w:hAnsi="Times New Roman" w:cs="Times New Roman"/>
          <w:sz w:val="24"/>
          <w:szCs w:val="24"/>
        </w:rPr>
        <w:t>год и на плановый период 20</w:t>
      </w:r>
      <w:r w:rsidR="00D31E4D" w:rsidRPr="00F87A63">
        <w:rPr>
          <w:rFonts w:ascii="Times New Roman" w:hAnsi="Times New Roman" w:cs="Times New Roman"/>
          <w:sz w:val="24"/>
          <w:szCs w:val="24"/>
        </w:rPr>
        <w:t>2</w:t>
      </w:r>
      <w:r w:rsidR="00BF02BF" w:rsidRPr="00F87A63">
        <w:rPr>
          <w:rFonts w:ascii="Times New Roman" w:hAnsi="Times New Roman" w:cs="Times New Roman"/>
          <w:sz w:val="24"/>
          <w:szCs w:val="24"/>
        </w:rPr>
        <w:t>4</w:t>
      </w:r>
      <w:r w:rsidRPr="00F87A63">
        <w:rPr>
          <w:rFonts w:ascii="Times New Roman" w:hAnsi="Times New Roman" w:cs="Times New Roman"/>
          <w:sz w:val="24"/>
          <w:szCs w:val="24"/>
        </w:rPr>
        <w:t xml:space="preserve"> и 202</w:t>
      </w:r>
      <w:r w:rsidR="00BF02BF" w:rsidRPr="00F87A63">
        <w:rPr>
          <w:rFonts w:ascii="Times New Roman" w:hAnsi="Times New Roman" w:cs="Times New Roman"/>
          <w:sz w:val="24"/>
          <w:szCs w:val="24"/>
        </w:rPr>
        <w:t>5</w:t>
      </w:r>
      <w:r w:rsidRPr="00F87A6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D547E" w:rsidRPr="00F87A63">
        <w:rPr>
          <w:rFonts w:ascii="Times New Roman" w:hAnsi="Times New Roman" w:cs="Times New Roman"/>
          <w:sz w:val="24"/>
          <w:szCs w:val="24"/>
        </w:rPr>
        <w:t>»</w:t>
      </w:r>
      <w:bookmarkEnd w:id="3"/>
      <w:r w:rsidR="00286167">
        <w:rPr>
          <w:rFonts w:ascii="Times New Roman" w:hAnsi="Times New Roman" w:cs="Times New Roman"/>
          <w:sz w:val="24"/>
          <w:szCs w:val="24"/>
        </w:rPr>
        <w:t xml:space="preserve"> </w:t>
      </w:r>
      <w:r w:rsidRPr="00F87A63">
        <w:rPr>
          <w:rFonts w:ascii="Times New Roman" w:hAnsi="Times New Roman" w:cs="Times New Roman"/>
          <w:sz w:val="24"/>
          <w:szCs w:val="24"/>
        </w:rPr>
        <w:t>подготовлено Контрольно-ревизионной комисси</w:t>
      </w:r>
      <w:r w:rsidR="00286167">
        <w:rPr>
          <w:rFonts w:ascii="Times New Roman" w:hAnsi="Times New Roman" w:cs="Times New Roman"/>
          <w:sz w:val="24"/>
          <w:szCs w:val="24"/>
        </w:rPr>
        <w:t>ей</w:t>
      </w:r>
      <w:r w:rsidRPr="00F87A6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1D547E" w:rsidRPr="00F87A63">
        <w:rPr>
          <w:rFonts w:ascii="Times New Roman" w:hAnsi="Times New Roman" w:cs="Times New Roman"/>
          <w:sz w:val="24"/>
          <w:szCs w:val="24"/>
        </w:rPr>
        <w:t>«</w:t>
      </w:r>
      <w:r w:rsidRPr="00F87A63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F87A63">
        <w:rPr>
          <w:rFonts w:ascii="Times New Roman" w:hAnsi="Times New Roman" w:cs="Times New Roman"/>
          <w:sz w:val="24"/>
          <w:szCs w:val="24"/>
        </w:rPr>
        <w:t>»</w:t>
      </w:r>
      <w:r w:rsidRPr="00F87A63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E728CA" w:rsidRPr="00F87A63">
        <w:rPr>
          <w:rFonts w:ascii="Times New Roman" w:hAnsi="Times New Roman" w:cs="Times New Roman"/>
          <w:sz w:val="24"/>
          <w:szCs w:val="24"/>
        </w:rPr>
        <w:t>(далее – Контрольно-ревизионная комиссия</w:t>
      </w:r>
      <w:r w:rsidR="00286167">
        <w:rPr>
          <w:rFonts w:ascii="Times New Roman" w:hAnsi="Times New Roman" w:cs="Times New Roman"/>
          <w:sz w:val="24"/>
          <w:szCs w:val="24"/>
        </w:rPr>
        <w:t>, КРК</w:t>
      </w:r>
      <w:r w:rsidR="00E728CA" w:rsidRPr="00F87A63">
        <w:rPr>
          <w:rFonts w:ascii="Times New Roman" w:hAnsi="Times New Roman" w:cs="Times New Roman"/>
          <w:sz w:val="24"/>
          <w:szCs w:val="24"/>
        </w:rPr>
        <w:t xml:space="preserve">) </w:t>
      </w:r>
      <w:r w:rsidR="00286167">
        <w:rPr>
          <w:rFonts w:ascii="Times New Roman" w:hAnsi="Times New Roman" w:cs="Times New Roman"/>
          <w:sz w:val="24"/>
          <w:szCs w:val="24"/>
        </w:rPr>
        <w:t xml:space="preserve"> на основе представленного проекта решения с приложениями и пояснительной запиской</w:t>
      </w:r>
      <w:r w:rsidRPr="00F87A63">
        <w:rPr>
          <w:rFonts w:ascii="Times New Roman" w:hAnsi="Times New Roman" w:cs="Times New Roman"/>
          <w:sz w:val="24"/>
          <w:szCs w:val="24"/>
        </w:rPr>
        <w:t>.</w:t>
      </w:r>
    </w:p>
    <w:p w:rsidR="00175A45" w:rsidRDefault="00175A45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070" w:rsidRPr="007E3969" w:rsidRDefault="00014E4C" w:rsidP="00B04AAF">
      <w:pPr>
        <w:pStyle w:val="a3"/>
        <w:jc w:val="center"/>
        <w:rPr>
          <w:rStyle w:val="ad"/>
          <w:rFonts w:ascii="Times New Roman" w:hAnsi="Times New Roman" w:cs="Times New Roman"/>
          <w:i/>
          <w:sz w:val="24"/>
          <w:szCs w:val="24"/>
        </w:rPr>
      </w:pPr>
      <w:r w:rsidRPr="007E3969">
        <w:rPr>
          <w:rStyle w:val="ad"/>
          <w:rFonts w:ascii="Times New Roman" w:hAnsi="Times New Roman" w:cs="Times New Roman"/>
          <w:i/>
          <w:sz w:val="24"/>
          <w:szCs w:val="24"/>
        </w:rPr>
        <w:t xml:space="preserve"> </w:t>
      </w:r>
      <w:r w:rsidR="00B04AAF" w:rsidRPr="007E3969">
        <w:rPr>
          <w:rStyle w:val="ad"/>
          <w:rFonts w:ascii="Times New Roman" w:hAnsi="Times New Roman" w:cs="Times New Roman"/>
          <w:i/>
          <w:sz w:val="24"/>
          <w:szCs w:val="24"/>
        </w:rPr>
        <w:t xml:space="preserve">Анализ изменений, вносимых в решение о бюджете </w:t>
      </w:r>
    </w:p>
    <w:p w:rsidR="00090070" w:rsidRPr="007E3969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i/>
          <w:sz w:val="24"/>
          <w:szCs w:val="24"/>
        </w:rPr>
      </w:pPr>
      <w:r w:rsidRPr="007E3969">
        <w:rPr>
          <w:rStyle w:val="ad"/>
          <w:rFonts w:ascii="Times New Roman" w:hAnsi="Times New Roman" w:cs="Times New Roman"/>
          <w:i/>
          <w:sz w:val="24"/>
          <w:szCs w:val="24"/>
        </w:rPr>
        <w:t xml:space="preserve">Вяземского городского поселения Вяземского района Смоленской области </w:t>
      </w:r>
    </w:p>
    <w:p w:rsidR="00B04AAF" w:rsidRPr="007E3969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i/>
          <w:sz w:val="24"/>
          <w:szCs w:val="24"/>
        </w:rPr>
      </w:pPr>
      <w:r w:rsidRPr="007E3969">
        <w:rPr>
          <w:rStyle w:val="ad"/>
          <w:rFonts w:ascii="Times New Roman" w:hAnsi="Times New Roman" w:cs="Times New Roman"/>
          <w:i/>
          <w:sz w:val="24"/>
          <w:szCs w:val="24"/>
        </w:rPr>
        <w:t>на 20</w:t>
      </w:r>
      <w:r w:rsidR="00545595" w:rsidRPr="007E3969">
        <w:rPr>
          <w:rStyle w:val="ad"/>
          <w:rFonts w:ascii="Times New Roman" w:hAnsi="Times New Roman" w:cs="Times New Roman"/>
          <w:i/>
          <w:sz w:val="24"/>
          <w:szCs w:val="24"/>
        </w:rPr>
        <w:t>2</w:t>
      </w:r>
      <w:r w:rsidR="00BF02BF" w:rsidRPr="007E3969">
        <w:rPr>
          <w:rStyle w:val="ad"/>
          <w:rFonts w:ascii="Times New Roman" w:hAnsi="Times New Roman" w:cs="Times New Roman"/>
          <w:i/>
          <w:sz w:val="24"/>
          <w:szCs w:val="24"/>
        </w:rPr>
        <w:t>3</w:t>
      </w:r>
      <w:r w:rsidR="00386BB9">
        <w:rPr>
          <w:rStyle w:val="ad"/>
          <w:rFonts w:ascii="Times New Roman" w:hAnsi="Times New Roman" w:cs="Times New Roman"/>
          <w:i/>
          <w:sz w:val="24"/>
          <w:szCs w:val="24"/>
        </w:rPr>
        <w:t xml:space="preserve"> </w:t>
      </w:r>
      <w:r w:rsidRPr="007E3969">
        <w:rPr>
          <w:rStyle w:val="ad"/>
          <w:rFonts w:ascii="Times New Roman" w:hAnsi="Times New Roman" w:cs="Times New Roman"/>
          <w:i/>
          <w:sz w:val="24"/>
          <w:szCs w:val="24"/>
        </w:rPr>
        <w:t>год и на плановый период 202</w:t>
      </w:r>
      <w:r w:rsidR="00BF02BF" w:rsidRPr="007E3969">
        <w:rPr>
          <w:rStyle w:val="ad"/>
          <w:rFonts w:ascii="Times New Roman" w:hAnsi="Times New Roman" w:cs="Times New Roman"/>
          <w:i/>
          <w:sz w:val="24"/>
          <w:szCs w:val="24"/>
        </w:rPr>
        <w:t>4</w:t>
      </w:r>
      <w:r w:rsidRPr="007E3969">
        <w:rPr>
          <w:rStyle w:val="ad"/>
          <w:rFonts w:ascii="Times New Roman" w:hAnsi="Times New Roman" w:cs="Times New Roman"/>
          <w:i/>
          <w:sz w:val="24"/>
          <w:szCs w:val="24"/>
        </w:rPr>
        <w:t xml:space="preserve"> и 202</w:t>
      </w:r>
      <w:r w:rsidR="00BF02BF" w:rsidRPr="007E3969">
        <w:rPr>
          <w:rStyle w:val="ad"/>
          <w:rFonts w:ascii="Times New Roman" w:hAnsi="Times New Roman" w:cs="Times New Roman"/>
          <w:i/>
          <w:sz w:val="24"/>
          <w:szCs w:val="24"/>
        </w:rPr>
        <w:t>5</w:t>
      </w:r>
      <w:r w:rsidRPr="007E3969">
        <w:rPr>
          <w:rStyle w:val="ad"/>
          <w:rFonts w:ascii="Times New Roman" w:hAnsi="Times New Roman" w:cs="Times New Roman"/>
          <w:i/>
          <w:sz w:val="24"/>
          <w:szCs w:val="24"/>
        </w:rPr>
        <w:t xml:space="preserve"> годов</w:t>
      </w:r>
    </w:p>
    <w:p w:rsidR="00B04AAF" w:rsidRPr="007E3969" w:rsidRDefault="00B04AAF" w:rsidP="00B04AAF">
      <w:pPr>
        <w:ind w:firstLine="709"/>
        <w:jc w:val="both"/>
        <w:rPr>
          <w:i/>
        </w:rPr>
      </w:pPr>
    </w:p>
    <w:p w:rsidR="00090070" w:rsidRPr="007E3969" w:rsidRDefault="00090070" w:rsidP="00A2313D">
      <w:pPr>
        <w:ind w:firstLine="709"/>
        <w:jc w:val="both"/>
      </w:pPr>
      <w:r w:rsidRPr="007E3969">
        <w:t xml:space="preserve">Согласно предоставленному проекту решения о бюджете основные характеристики бюджета </w:t>
      </w:r>
      <w:r w:rsidR="00B96447">
        <w:t>Вяземского городского поселения Вяземского района Смоленской области</w:t>
      </w:r>
      <w:r w:rsidRPr="007E3969">
        <w:t xml:space="preserve"> предлагается утвердить в следующих параметрах:</w:t>
      </w:r>
    </w:p>
    <w:p w:rsidR="00B04AAF" w:rsidRPr="007E3969" w:rsidRDefault="00B04AAF" w:rsidP="00B04AAF">
      <w:pPr>
        <w:pStyle w:val="a3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7E3969">
        <w:rPr>
          <w:rFonts w:ascii="Times New Roman" w:hAnsi="Times New Roman" w:cs="Times New Roman"/>
          <w:sz w:val="20"/>
          <w:szCs w:val="20"/>
          <w:u w:val="single"/>
        </w:rPr>
        <w:t xml:space="preserve"> (тыс. руб.)</w:t>
      </w:r>
    </w:p>
    <w:tbl>
      <w:tblPr>
        <w:tblW w:w="103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251"/>
        <w:gridCol w:w="1191"/>
        <w:gridCol w:w="1096"/>
        <w:gridCol w:w="1134"/>
      </w:tblGrid>
      <w:tr w:rsidR="00BF02BF" w:rsidRPr="00CD7F4C" w:rsidTr="000E5BF3">
        <w:trPr>
          <w:trHeight w:val="763"/>
        </w:trPr>
        <w:tc>
          <w:tcPr>
            <w:tcW w:w="696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BF02BF" w:rsidRPr="00CD7F4C" w:rsidRDefault="00BF02BF" w:rsidP="00BF02BF">
            <w:pPr>
              <w:jc w:val="center"/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№ пункта решения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02BF" w:rsidRPr="00CD7F4C" w:rsidRDefault="00090070" w:rsidP="00BF02BF">
            <w:pPr>
              <w:jc w:val="center"/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н</w:t>
            </w:r>
            <w:r w:rsidR="00BF02BF" w:rsidRPr="00CD7F4C">
              <w:rPr>
                <w:b/>
                <w:sz w:val="20"/>
                <w:szCs w:val="20"/>
              </w:rPr>
              <w:t>аименование характеристик бюджета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02BF" w:rsidRPr="00CD7F4C" w:rsidRDefault="00090070" w:rsidP="00BF02BF">
            <w:pPr>
              <w:jc w:val="center"/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р</w:t>
            </w:r>
            <w:r w:rsidR="00BF02BF" w:rsidRPr="00CD7F4C">
              <w:rPr>
                <w:b/>
                <w:sz w:val="20"/>
                <w:szCs w:val="20"/>
              </w:rPr>
              <w:t>ешение о 26.12.2022 №84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02BF" w:rsidRPr="00CD7F4C" w:rsidRDefault="00CD7F4C" w:rsidP="00BF02BF">
            <w:pPr>
              <w:jc w:val="center"/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п</w:t>
            </w:r>
            <w:r w:rsidR="00BF02BF" w:rsidRPr="00CD7F4C">
              <w:rPr>
                <w:b/>
                <w:sz w:val="20"/>
                <w:szCs w:val="20"/>
              </w:rPr>
              <w:t>роект решения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0070" w:rsidRPr="00CD7F4C" w:rsidRDefault="00090070" w:rsidP="00090070">
            <w:pPr>
              <w:jc w:val="center"/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 xml:space="preserve">откл. </w:t>
            </w:r>
          </w:p>
          <w:p w:rsidR="00BF02BF" w:rsidRPr="00CD7F4C" w:rsidRDefault="00090070" w:rsidP="00090070">
            <w:pPr>
              <w:jc w:val="center"/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+/</w:t>
            </w:r>
            <w:r w:rsidR="00BF02BF" w:rsidRPr="00CD7F4C">
              <w:rPr>
                <w:b/>
                <w:sz w:val="20"/>
                <w:szCs w:val="20"/>
              </w:rPr>
              <w:t>-</w:t>
            </w:r>
          </w:p>
        </w:tc>
      </w:tr>
      <w:tr w:rsidR="00683C5B" w:rsidRPr="007E3969" w:rsidTr="000E5BF3">
        <w:trPr>
          <w:trHeight w:val="194"/>
        </w:trPr>
        <w:tc>
          <w:tcPr>
            <w:tcW w:w="696" w:type="dxa"/>
            <w:vMerge w:val="restart"/>
            <w:shd w:val="clear" w:color="auto" w:fill="auto"/>
            <w:noWrap/>
            <w:vAlign w:val="center"/>
            <w:hideMark/>
          </w:tcPr>
          <w:p w:rsidR="00683C5B" w:rsidRPr="007E3969" w:rsidRDefault="00683C5B" w:rsidP="00683C5B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1.1.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Доходы на 2023 год, в том числе: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599 711,6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606 347,7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6 636,1</w:t>
            </w:r>
          </w:p>
        </w:tc>
      </w:tr>
      <w:tr w:rsidR="00683C5B" w:rsidRPr="007E3969" w:rsidTr="000E5BF3">
        <w:trPr>
          <w:trHeight w:val="60"/>
        </w:trPr>
        <w:tc>
          <w:tcPr>
            <w:tcW w:w="696" w:type="dxa"/>
            <w:vMerge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83C5B" w:rsidRPr="00CD7F4C" w:rsidRDefault="00683C5B" w:rsidP="00683C5B">
            <w:pPr>
              <w:ind w:left="472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385 408,5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385 018,3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-390,2</w:t>
            </w:r>
          </w:p>
        </w:tc>
      </w:tr>
      <w:tr w:rsidR="00683C5B" w:rsidRPr="007E3969" w:rsidTr="000E5BF3">
        <w:trPr>
          <w:trHeight w:val="315"/>
        </w:trPr>
        <w:tc>
          <w:tcPr>
            <w:tcW w:w="696" w:type="dxa"/>
            <w:vMerge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83C5B" w:rsidRPr="00CD7F4C" w:rsidRDefault="00683C5B" w:rsidP="00683C5B">
            <w:pPr>
              <w:ind w:left="472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385 163,5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384 466,3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-697,2</w:t>
            </w:r>
          </w:p>
        </w:tc>
      </w:tr>
      <w:tr w:rsidR="00683C5B" w:rsidRPr="007E3969" w:rsidTr="000E5BF3">
        <w:trPr>
          <w:trHeight w:val="7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683C5B" w:rsidRPr="007E3969" w:rsidRDefault="00683C5B" w:rsidP="00683C5B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1.2.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Расходы на 2023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739 445,7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746 081,8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6 636,1</w:t>
            </w:r>
          </w:p>
        </w:tc>
      </w:tr>
      <w:tr w:rsidR="00683C5B" w:rsidRPr="007E3969" w:rsidTr="000E5BF3">
        <w:trPr>
          <w:trHeight w:val="70"/>
        </w:trPr>
        <w:tc>
          <w:tcPr>
            <w:tcW w:w="696" w:type="dxa"/>
            <w:vMerge w:val="restart"/>
            <w:shd w:val="clear" w:color="auto" w:fill="auto"/>
            <w:noWrap/>
            <w:vAlign w:val="center"/>
            <w:hideMark/>
          </w:tcPr>
          <w:p w:rsidR="00683C5B" w:rsidRPr="007E3969" w:rsidRDefault="00683C5B" w:rsidP="00683C5B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1.3.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Дефицит (профицит) на 2023 год, в том числе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139 734,1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139 734,1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83C5B" w:rsidRPr="007E3969" w:rsidTr="000E5BF3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5B" w:rsidRPr="00CD7F4C" w:rsidRDefault="00683C5B" w:rsidP="00683C5B">
            <w:pPr>
              <w:ind w:left="472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-446 865,7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-446 865,7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0,0</w:t>
            </w:r>
          </w:p>
        </w:tc>
      </w:tr>
      <w:tr w:rsidR="00683C5B" w:rsidRPr="007E3969" w:rsidTr="000E5BF3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5B" w:rsidRPr="00CD7F4C" w:rsidRDefault="00683C5B" w:rsidP="00683C5B">
            <w:pPr>
              <w:ind w:left="472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уменьшение остатков средств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586 599,8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586 599,8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0,0</w:t>
            </w:r>
          </w:p>
        </w:tc>
      </w:tr>
      <w:tr w:rsidR="00683C5B" w:rsidRPr="007E3969" w:rsidTr="000E5BF3">
        <w:trPr>
          <w:trHeight w:val="70"/>
        </w:trPr>
        <w:tc>
          <w:tcPr>
            <w:tcW w:w="696" w:type="dxa"/>
            <w:vMerge w:val="restart"/>
            <w:shd w:val="clear" w:color="auto" w:fill="auto"/>
            <w:noWrap/>
            <w:vAlign w:val="center"/>
            <w:hideMark/>
          </w:tcPr>
          <w:p w:rsidR="00683C5B" w:rsidRPr="007E3969" w:rsidRDefault="00683C5B" w:rsidP="00683C5B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2.1.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Доходы на 2024 год, в том числе: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467 830,6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467 830,6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83C5B" w:rsidRPr="007E3969" w:rsidTr="000E5BF3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83C5B" w:rsidRPr="00CD7F4C" w:rsidRDefault="00683C5B" w:rsidP="00683C5B">
            <w:pPr>
              <w:ind w:left="472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254 977,3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254 977,3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0,0</w:t>
            </w:r>
          </w:p>
        </w:tc>
      </w:tr>
      <w:tr w:rsidR="00683C5B" w:rsidRPr="007E3969" w:rsidTr="000E5BF3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83C5B" w:rsidRPr="00CD7F4C" w:rsidRDefault="00683C5B" w:rsidP="00683C5B">
            <w:pPr>
              <w:ind w:left="472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254 977,3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254 977,3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0,0</w:t>
            </w:r>
          </w:p>
        </w:tc>
      </w:tr>
      <w:tr w:rsidR="00683C5B" w:rsidRPr="007E3969" w:rsidTr="000E5BF3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Доходы на 2025 год, в том числе: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252 470,7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252 470,7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83C5B" w:rsidRPr="007E3969" w:rsidTr="000E5BF3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83C5B" w:rsidRPr="00CD7F4C" w:rsidRDefault="00683C5B" w:rsidP="00683C5B">
            <w:pPr>
              <w:ind w:left="472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25 954,1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25 954,1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0,0</w:t>
            </w:r>
          </w:p>
        </w:tc>
      </w:tr>
      <w:tr w:rsidR="00683C5B" w:rsidRPr="007E3969" w:rsidTr="000E5BF3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83C5B" w:rsidRPr="00CD7F4C" w:rsidRDefault="00683C5B" w:rsidP="00683C5B">
            <w:pPr>
              <w:ind w:left="472"/>
              <w:rPr>
                <w:i/>
                <w:sz w:val="20"/>
                <w:szCs w:val="20"/>
              </w:rPr>
            </w:pPr>
            <w:r w:rsidRPr="00CD7F4C">
              <w:rPr>
                <w:i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25 954,1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25 954,1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0,0</w:t>
            </w:r>
          </w:p>
        </w:tc>
      </w:tr>
      <w:tr w:rsidR="00683C5B" w:rsidRPr="007E3969" w:rsidTr="000E5BF3">
        <w:trPr>
          <w:trHeight w:val="70"/>
        </w:trPr>
        <w:tc>
          <w:tcPr>
            <w:tcW w:w="696" w:type="dxa"/>
            <w:vMerge w:val="restart"/>
            <w:shd w:val="clear" w:color="auto" w:fill="auto"/>
            <w:noWrap/>
            <w:vAlign w:val="center"/>
            <w:hideMark/>
          </w:tcPr>
          <w:p w:rsidR="00683C5B" w:rsidRPr="007E3969" w:rsidRDefault="00683C5B" w:rsidP="00683C5B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2.2.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Расходы на 2024 год</w:t>
            </w:r>
            <w:r w:rsidRPr="007E3969">
              <w:rPr>
                <w:sz w:val="20"/>
                <w:szCs w:val="20"/>
              </w:rPr>
              <w:t xml:space="preserve">, в том числе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467 830,6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467 830,6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83C5B" w:rsidRPr="007E3969" w:rsidTr="000E5BF3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5 500,0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5 500,0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0,0</w:t>
            </w:r>
          </w:p>
        </w:tc>
      </w:tr>
      <w:tr w:rsidR="00683C5B" w:rsidRPr="007E3969" w:rsidTr="000E5BF3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3C5B" w:rsidRPr="00CD7F4C" w:rsidRDefault="00683C5B" w:rsidP="00683C5B">
            <w:pPr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 xml:space="preserve">Расходы на 2025 год, </w:t>
            </w:r>
            <w:r w:rsidRPr="00CD7F4C">
              <w:rPr>
                <w:sz w:val="20"/>
                <w:szCs w:val="20"/>
              </w:rPr>
              <w:t>в том числе</w:t>
            </w:r>
            <w:r w:rsidRPr="00CD7F4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248 931,6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248 931,6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83C5B" w:rsidRPr="007E3969" w:rsidTr="000E5BF3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11 500,0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11 500,0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sz w:val="18"/>
                <w:szCs w:val="18"/>
              </w:rPr>
            </w:pPr>
            <w:r w:rsidRPr="00683C5B">
              <w:rPr>
                <w:sz w:val="18"/>
                <w:szCs w:val="18"/>
              </w:rPr>
              <w:t>0,0</w:t>
            </w:r>
          </w:p>
        </w:tc>
      </w:tr>
      <w:tr w:rsidR="00683C5B" w:rsidRPr="007E3969" w:rsidTr="000E5BF3">
        <w:trPr>
          <w:trHeight w:val="70"/>
        </w:trPr>
        <w:tc>
          <w:tcPr>
            <w:tcW w:w="696" w:type="dxa"/>
            <w:vMerge w:val="restart"/>
            <w:shd w:val="clear" w:color="auto" w:fill="auto"/>
            <w:noWrap/>
            <w:vAlign w:val="center"/>
            <w:hideMark/>
          </w:tcPr>
          <w:p w:rsidR="00683C5B" w:rsidRPr="007E3969" w:rsidRDefault="00683C5B" w:rsidP="00683C5B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2.3.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CD7F4C" w:rsidRDefault="00683C5B" w:rsidP="00683C5B">
            <w:pPr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Дефицит (профицит) на 2024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83C5B" w:rsidRPr="007E3969" w:rsidTr="000E5BF3">
        <w:trPr>
          <w:trHeight w:val="70"/>
        </w:trPr>
        <w:tc>
          <w:tcPr>
            <w:tcW w:w="696" w:type="dxa"/>
            <w:vMerge/>
            <w:vAlign w:val="center"/>
            <w:hideMark/>
          </w:tcPr>
          <w:p w:rsidR="00683C5B" w:rsidRPr="007E3969" w:rsidRDefault="00683C5B" w:rsidP="00683C5B">
            <w:pPr>
              <w:rPr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CD7F4C" w:rsidRDefault="00683C5B" w:rsidP="00683C5B">
            <w:pPr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Дефицит (профицит) на 2025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-3 539,1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-3 539,1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3C5B" w:rsidRPr="00683C5B" w:rsidRDefault="00683C5B" w:rsidP="00683C5B">
            <w:pPr>
              <w:jc w:val="right"/>
              <w:rPr>
                <w:b/>
                <w:bCs/>
                <w:sz w:val="18"/>
                <w:szCs w:val="18"/>
              </w:rPr>
            </w:pPr>
            <w:r w:rsidRPr="00683C5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BF02BF" w:rsidRPr="007E3969" w:rsidTr="000E5BF3">
        <w:trPr>
          <w:trHeight w:val="7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BF02BF" w:rsidRPr="007E3969" w:rsidRDefault="00BF02BF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11.</w:t>
            </w:r>
          </w:p>
        </w:tc>
        <w:tc>
          <w:tcPr>
            <w:tcW w:w="62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02BF" w:rsidRPr="00CD7F4C" w:rsidRDefault="00BF02BF" w:rsidP="00BF02BF">
            <w:pPr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7E3969" w:rsidRDefault="00BF02BF" w:rsidP="00BF02BF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7E3969" w:rsidRDefault="00BF02BF" w:rsidP="00BF02BF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7E3969" w:rsidRDefault="00BF02BF" w:rsidP="00BF02BF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 </w:t>
            </w:r>
          </w:p>
        </w:tc>
      </w:tr>
      <w:tr w:rsidR="000E5BF3" w:rsidRPr="007E3969" w:rsidTr="000E5BF3">
        <w:trPr>
          <w:trHeight w:val="8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E5BF3" w:rsidRPr="007E3969" w:rsidRDefault="000E5BF3" w:rsidP="000E5BF3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11.1.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E5BF3" w:rsidRPr="007E3969" w:rsidRDefault="000E5BF3" w:rsidP="000E5BF3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729 183,0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737 050,2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7 867,2</w:t>
            </w:r>
          </w:p>
        </w:tc>
      </w:tr>
      <w:tr w:rsidR="000E5BF3" w:rsidRPr="007E3969" w:rsidTr="000E5BF3">
        <w:trPr>
          <w:trHeight w:val="8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E5BF3" w:rsidRPr="007E3969" w:rsidRDefault="000E5BF3" w:rsidP="000E5BF3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11.2.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E5BF3" w:rsidRPr="007E3969" w:rsidRDefault="000E5BF3" w:rsidP="000E5BF3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 xml:space="preserve"> в 2024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458 175,2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458 175,2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0,0</w:t>
            </w:r>
          </w:p>
        </w:tc>
      </w:tr>
      <w:tr w:rsidR="000E5BF3" w:rsidRPr="007E3969" w:rsidTr="000E5BF3">
        <w:trPr>
          <w:trHeight w:val="8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E5BF3" w:rsidRPr="007E3969" w:rsidRDefault="000E5BF3" w:rsidP="000E5BF3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11.3.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E5BF3" w:rsidRPr="007E3969" w:rsidRDefault="000E5BF3" w:rsidP="000E5BF3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в 2025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233 276,5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233 276,5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0,0</w:t>
            </w:r>
          </w:p>
        </w:tc>
      </w:tr>
      <w:tr w:rsidR="000E5BF3" w:rsidRPr="007E3969" w:rsidTr="000E5BF3">
        <w:trPr>
          <w:trHeight w:val="7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E5BF3" w:rsidRPr="007E3969" w:rsidRDefault="000E5BF3" w:rsidP="000E5BF3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13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E5BF3" w:rsidRPr="00CD7F4C" w:rsidRDefault="000E5BF3" w:rsidP="000E5BF3">
            <w:pPr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>Объем бюджетных ассигнований дорожного фонда бюджета поселения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 </w:t>
            </w:r>
          </w:p>
        </w:tc>
      </w:tr>
      <w:tr w:rsidR="000E5BF3" w:rsidRPr="007E3969" w:rsidTr="000E5BF3">
        <w:trPr>
          <w:trHeight w:val="8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E5BF3" w:rsidRPr="007E3969" w:rsidRDefault="000E5BF3" w:rsidP="000E5BF3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13.1.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E5BF3" w:rsidRPr="007E3969" w:rsidRDefault="000E5BF3" w:rsidP="000E5BF3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164 733,3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150 918,8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-13 814,5</w:t>
            </w:r>
          </w:p>
        </w:tc>
      </w:tr>
      <w:tr w:rsidR="000E5BF3" w:rsidRPr="007E3969" w:rsidTr="000E5BF3">
        <w:trPr>
          <w:trHeight w:val="8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E5BF3" w:rsidRPr="007E3969" w:rsidRDefault="000E5BF3" w:rsidP="000E5BF3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13.2.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E5BF3" w:rsidRPr="007E3969" w:rsidRDefault="000E5BF3" w:rsidP="000E5BF3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 xml:space="preserve"> на 2024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27 675,8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27 675,8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0,0</w:t>
            </w:r>
          </w:p>
        </w:tc>
      </w:tr>
      <w:tr w:rsidR="000E5BF3" w:rsidRPr="007E3969" w:rsidTr="000E5BF3">
        <w:trPr>
          <w:trHeight w:val="8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E5BF3" w:rsidRPr="007E3969" w:rsidRDefault="000E5BF3" w:rsidP="000E5BF3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13.3.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E5BF3" w:rsidRPr="007E3969" w:rsidRDefault="000E5BF3" w:rsidP="000E5BF3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на 2025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28 079,8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28 079,8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0,0</w:t>
            </w:r>
          </w:p>
        </w:tc>
      </w:tr>
      <w:tr w:rsidR="00BF02BF" w:rsidRPr="007E3969" w:rsidTr="000E5BF3">
        <w:trPr>
          <w:trHeight w:val="274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BF02BF" w:rsidRPr="007E3969" w:rsidRDefault="00BF02BF" w:rsidP="00BF02BF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15.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BF02BF" w:rsidRPr="00CD7F4C" w:rsidRDefault="00BF02BF" w:rsidP="00BF02BF">
            <w:pPr>
              <w:rPr>
                <w:b/>
                <w:sz w:val="20"/>
                <w:szCs w:val="20"/>
              </w:rPr>
            </w:pPr>
            <w:r w:rsidRPr="00CD7F4C">
              <w:rPr>
                <w:b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7E3969" w:rsidRDefault="00BF02BF" w:rsidP="00BF02BF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7E3969" w:rsidRDefault="00BF02BF" w:rsidP="00BF02BF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7E3969" w:rsidRDefault="00BF02BF" w:rsidP="00BF02BF">
            <w:pPr>
              <w:jc w:val="right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 </w:t>
            </w:r>
          </w:p>
        </w:tc>
      </w:tr>
      <w:tr w:rsidR="000E5BF3" w:rsidRPr="007E3969" w:rsidTr="000E5BF3">
        <w:trPr>
          <w:trHeight w:val="8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E5BF3" w:rsidRPr="007E3969" w:rsidRDefault="000E5BF3" w:rsidP="000E5BF3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15.1.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E5BF3" w:rsidRPr="007E3969" w:rsidRDefault="000E5BF3" w:rsidP="000E5BF3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299 625,9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302 578,9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2 953,0</w:t>
            </w:r>
          </w:p>
        </w:tc>
      </w:tr>
      <w:tr w:rsidR="000E5BF3" w:rsidRPr="007E3969" w:rsidTr="000E5BF3">
        <w:trPr>
          <w:trHeight w:val="8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0E5BF3" w:rsidRPr="007E3969" w:rsidRDefault="000E5BF3" w:rsidP="000E5BF3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15.2.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0E5BF3" w:rsidRPr="007E3969" w:rsidRDefault="000E5BF3" w:rsidP="000E5BF3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 xml:space="preserve"> на 2024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19 120,0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19 120,0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0,0</w:t>
            </w:r>
          </w:p>
        </w:tc>
      </w:tr>
      <w:tr w:rsidR="000E5BF3" w:rsidRPr="007E3969" w:rsidTr="000E5BF3">
        <w:trPr>
          <w:trHeight w:val="80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F3" w:rsidRPr="007E3969" w:rsidRDefault="000E5BF3" w:rsidP="000E5BF3">
            <w:pPr>
              <w:jc w:val="center"/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lastRenderedPageBreak/>
              <w:t>15.3.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5BF3" w:rsidRPr="007E3969" w:rsidRDefault="000E5BF3" w:rsidP="000E5BF3">
            <w:pPr>
              <w:rPr>
                <w:sz w:val="20"/>
                <w:szCs w:val="20"/>
              </w:rPr>
            </w:pPr>
            <w:r w:rsidRPr="007E3969">
              <w:rPr>
                <w:sz w:val="20"/>
                <w:szCs w:val="20"/>
              </w:rPr>
              <w:t>на 2025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16 400,0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16 400,0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0,0</w:t>
            </w:r>
          </w:p>
        </w:tc>
      </w:tr>
      <w:tr w:rsidR="000E5BF3" w:rsidRPr="007E3969" w:rsidTr="000E5BF3">
        <w:trPr>
          <w:trHeight w:val="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3" w:rsidRPr="000E5BF3" w:rsidRDefault="000E5BF3" w:rsidP="000E5BF3">
            <w:pPr>
              <w:jc w:val="center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16.</w:t>
            </w:r>
          </w:p>
        </w:tc>
        <w:tc>
          <w:tcPr>
            <w:tcW w:w="6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3" w:rsidRPr="000E5BF3" w:rsidRDefault="000E5BF3" w:rsidP="000E5BF3">
            <w:pPr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 </w:t>
            </w:r>
          </w:p>
        </w:tc>
      </w:tr>
      <w:tr w:rsidR="000E5BF3" w:rsidRPr="007E3969" w:rsidTr="000E5BF3">
        <w:trPr>
          <w:trHeight w:val="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3" w:rsidRPr="000E5BF3" w:rsidRDefault="000E5BF3" w:rsidP="000E5BF3">
            <w:pPr>
              <w:jc w:val="center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16.1.</w:t>
            </w:r>
          </w:p>
        </w:tc>
        <w:tc>
          <w:tcPr>
            <w:tcW w:w="6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3" w:rsidRPr="000E5BF3" w:rsidRDefault="000E5BF3" w:rsidP="000E5BF3">
            <w:pPr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 xml:space="preserve"> на 2023 год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1 500,0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362,9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-1 137,1</w:t>
            </w:r>
          </w:p>
        </w:tc>
      </w:tr>
      <w:tr w:rsidR="000E5BF3" w:rsidRPr="007E3969" w:rsidTr="000E5BF3">
        <w:trPr>
          <w:trHeight w:val="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3" w:rsidRPr="000E5BF3" w:rsidRDefault="000E5BF3" w:rsidP="000E5BF3">
            <w:pPr>
              <w:jc w:val="center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16.2.</w:t>
            </w:r>
          </w:p>
        </w:tc>
        <w:tc>
          <w:tcPr>
            <w:tcW w:w="6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3" w:rsidRPr="000E5BF3" w:rsidRDefault="000E5BF3" w:rsidP="000E5BF3">
            <w:pPr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 xml:space="preserve"> на 2024 год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0,0</w:t>
            </w:r>
          </w:p>
        </w:tc>
      </w:tr>
      <w:tr w:rsidR="000E5BF3" w:rsidRPr="007E3969" w:rsidTr="000E5BF3">
        <w:trPr>
          <w:trHeight w:val="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3" w:rsidRPr="000E5BF3" w:rsidRDefault="000E5BF3" w:rsidP="000E5BF3">
            <w:pPr>
              <w:jc w:val="center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16.3.</w:t>
            </w:r>
          </w:p>
        </w:tc>
        <w:tc>
          <w:tcPr>
            <w:tcW w:w="6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3" w:rsidRPr="000E5BF3" w:rsidRDefault="000E5BF3" w:rsidP="000E5BF3">
            <w:pPr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на 2025 год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3" w:rsidRPr="000E5BF3" w:rsidRDefault="000E5BF3" w:rsidP="000E5BF3">
            <w:pPr>
              <w:jc w:val="right"/>
              <w:rPr>
                <w:sz w:val="18"/>
                <w:szCs w:val="18"/>
              </w:rPr>
            </w:pPr>
            <w:r w:rsidRPr="000E5BF3">
              <w:rPr>
                <w:sz w:val="18"/>
                <w:szCs w:val="18"/>
              </w:rPr>
              <w:t>0,0</w:t>
            </w:r>
          </w:p>
        </w:tc>
      </w:tr>
    </w:tbl>
    <w:p w:rsidR="009E7045" w:rsidRPr="00E6569A" w:rsidRDefault="009E7045" w:rsidP="00E6569A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569A" w:rsidRPr="003330A4" w:rsidRDefault="00E6569A" w:rsidP="00E6569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330A4">
        <w:rPr>
          <w:rFonts w:ascii="Times New Roman" w:hAnsi="Times New Roman" w:cs="Times New Roman"/>
          <w:b/>
          <w:i/>
          <w:sz w:val="24"/>
          <w:szCs w:val="24"/>
          <w:u w:val="single"/>
        </w:rPr>
        <w:t>Доходы бюджета</w:t>
      </w:r>
    </w:p>
    <w:p w:rsidR="00E67792" w:rsidRPr="00B96447" w:rsidRDefault="00933AA7" w:rsidP="008F68B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8B2">
        <w:rPr>
          <w:rFonts w:ascii="Times New Roman" w:hAnsi="Times New Roman" w:cs="Times New Roman"/>
          <w:sz w:val="24"/>
          <w:szCs w:val="24"/>
        </w:rPr>
        <w:t>Согласно данным</w:t>
      </w:r>
      <w:r w:rsidR="006005EE" w:rsidRPr="00DD68B2">
        <w:rPr>
          <w:rFonts w:ascii="Times New Roman" w:hAnsi="Times New Roman" w:cs="Times New Roman"/>
          <w:sz w:val="24"/>
          <w:szCs w:val="24"/>
        </w:rPr>
        <w:t xml:space="preserve"> </w:t>
      </w:r>
      <w:r w:rsidR="00141236" w:rsidRPr="00DD68B2">
        <w:rPr>
          <w:rFonts w:ascii="Times New Roman" w:hAnsi="Times New Roman" w:cs="Times New Roman"/>
          <w:sz w:val="24"/>
          <w:szCs w:val="24"/>
        </w:rPr>
        <w:t xml:space="preserve">проекта решения </w:t>
      </w:r>
      <w:r w:rsidR="003330A4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8F68B2" w:rsidRPr="008F68B2">
        <w:rPr>
          <w:rFonts w:ascii="Times New Roman" w:hAnsi="Times New Roman" w:cs="Times New Roman"/>
          <w:i/>
          <w:sz w:val="24"/>
          <w:szCs w:val="24"/>
        </w:rPr>
        <w:t>на 2023 год</w:t>
      </w:r>
      <w:r w:rsidR="008F68B2" w:rsidRPr="00DD68B2">
        <w:rPr>
          <w:rFonts w:ascii="Times New Roman" w:hAnsi="Times New Roman" w:cs="Times New Roman"/>
          <w:sz w:val="24"/>
          <w:szCs w:val="24"/>
        </w:rPr>
        <w:t xml:space="preserve"> </w:t>
      </w:r>
      <w:r w:rsidR="00845C2B" w:rsidRPr="00DD68B2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="008F68B2" w:rsidRPr="00B96447">
        <w:rPr>
          <w:rFonts w:ascii="Times New Roman" w:hAnsi="Times New Roman" w:cs="Times New Roman"/>
          <w:sz w:val="24"/>
          <w:szCs w:val="24"/>
        </w:rPr>
        <w:t>утвердить</w:t>
      </w:r>
      <w:r w:rsidR="008F68B2" w:rsidRPr="00DD68B2">
        <w:rPr>
          <w:rFonts w:ascii="Times New Roman" w:hAnsi="Times New Roman" w:cs="Times New Roman"/>
          <w:sz w:val="24"/>
          <w:szCs w:val="24"/>
        </w:rPr>
        <w:t xml:space="preserve"> </w:t>
      </w:r>
      <w:r w:rsidR="008F68B2">
        <w:rPr>
          <w:rFonts w:ascii="Times New Roman" w:hAnsi="Times New Roman" w:cs="Times New Roman"/>
          <w:i/>
          <w:sz w:val="24"/>
          <w:szCs w:val="24"/>
        </w:rPr>
        <w:t xml:space="preserve">общий </w:t>
      </w:r>
      <w:r w:rsidR="00B04AAF" w:rsidRPr="008F68B2">
        <w:rPr>
          <w:rFonts w:ascii="Times New Roman" w:hAnsi="Times New Roman" w:cs="Times New Roman"/>
          <w:i/>
          <w:sz w:val="24"/>
          <w:szCs w:val="24"/>
        </w:rPr>
        <w:t xml:space="preserve">объем доходов </w:t>
      </w:r>
      <w:r w:rsidR="00B04AAF" w:rsidRPr="00B96447">
        <w:rPr>
          <w:rFonts w:ascii="Times New Roman" w:hAnsi="Times New Roman" w:cs="Times New Roman"/>
          <w:sz w:val="24"/>
          <w:szCs w:val="24"/>
        </w:rPr>
        <w:t xml:space="preserve">городского поселения в сумме </w:t>
      </w:r>
      <w:r w:rsidR="003A0DEA">
        <w:rPr>
          <w:rFonts w:ascii="Times New Roman" w:hAnsi="Times New Roman" w:cs="Times New Roman"/>
          <w:b/>
          <w:sz w:val="24"/>
          <w:szCs w:val="24"/>
        </w:rPr>
        <w:t>606 347,7</w:t>
      </w:r>
      <w:r w:rsidR="006005EE" w:rsidRPr="00B964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05EE" w:rsidRPr="00B96447">
        <w:rPr>
          <w:rFonts w:ascii="Times New Roman" w:hAnsi="Times New Roman" w:cs="Times New Roman"/>
          <w:sz w:val="24"/>
          <w:szCs w:val="24"/>
        </w:rPr>
        <w:t>тыс.</w:t>
      </w:r>
      <w:r w:rsidR="00B04AAF" w:rsidRPr="00B96447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B04AAF" w:rsidRPr="00B96447">
        <w:rPr>
          <w:rFonts w:ascii="Times New Roman" w:hAnsi="Times New Roman" w:cs="Times New Roman"/>
          <w:sz w:val="24"/>
          <w:szCs w:val="24"/>
        </w:rPr>
        <w:t xml:space="preserve"> с у</w:t>
      </w:r>
      <w:r w:rsidR="006B4FF4" w:rsidRPr="00B96447">
        <w:rPr>
          <w:rFonts w:ascii="Times New Roman" w:hAnsi="Times New Roman" w:cs="Times New Roman"/>
          <w:sz w:val="24"/>
          <w:szCs w:val="24"/>
        </w:rPr>
        <w:t xml:space="preserve">величением </w:t>
      </w:r>
      <w:r w:rsidR="00B04AAF" w:rsidRPr="00B96447">
        <w:rPr>
          <w:rFonts w:ascii="Times New Roman" w:hAnsi="Times New Roman" w:cs="Times New Roman"/>
          <w:sz w:val="24"/>
          <w:szCs w:val="24"/>
        </w:rPr>
        <w:t xml:space="preserve">на </w:t>
      </w:r>
      <w:r w:rsidR="003A0DEA">
        <w:rPr>
          <w:rFonts w:ascii="Times New Roman" w:hAnsi="Times New Roman" w:cs="Times New Roman"/>
          <w:b/>
          <w:sz w:val="24"/>
          <w:szCs w:val="24"/>
        </w:rPr>
        <w:t>6 636,2</w:t>
      </w:r>
      <w:r w:rsidR="008F6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5EE" w:rsidRPr="00B96447">
        <w:rPr>
          <w:rFonts w:ascii="Times New Roman" w:hAnsi="Times New Roman" w:cs="Times New Roman"/>
          <w:sz w:val="24"/>
          <w:szCs w:val="24"/>
        </w:rPr>
        <w:t>тыс.</w:t>
      </w:r>
      <w:r w:rsidR="00B04AAF" w:rsidRPr="00B96447">
        <w:rPr>
          <w:rFonts w:ascii="Times New Roman" w:hAnsi="Times New Roman" w:cs="Times New Roman"/>
          <w:sz w:val="24"/>
          <w:szCs w:val="24"/>
        </w:rPr>
        <w:t>рублей</w:t>
      </w:r>
      <w:r w:rsidR="00DD68B2" w:rsidRPr="00B96447">
        <w:rPr>
          <w:rFonts w:ascii="Times New Roman" w:hAnsi="Times New Roman" w:cs="Times New Roman"/>
          <w:sz w:val="24"/>
          <w:szCs w:val="24"/>
        </w:rPr>
        <w:t xml:space="preserve"> (или  на </w:t>
      </w:r>
      <w:r w:rsidR="00DD68B2" w:rsidRPr="00B96447">
        <w:rPr>
          <w:rFonts w:ascii="Times New Roman" w:hAnsi="Times New Roman" w:cs="Times New Roman"/>
          <w:b/>
          <w:sz w:val="24"/>
          <w:szCs w:val="24"/>
        </w:rPr>
        <w:t>34,2</w:t>
      </w:r>
      <w:r w:rsidR="00DD68B2" w:rsidRPr="00B96447">
        <w:rPr>
          <w:rFonts w:ascii="Times New Roman" w:hAnsi="Times New Roman" w:cs="Times New Roman"/>
          <w:sz w:val="24"/>
          <w:szCs w:val="24"/>
        </w:rPr>
        <w:t>%)</w:t>
      </w:r>
      <w:r w:rsidR="00E6569A" w:rsidRPr="00B96447">
        <w:rPr>
          <w:rFonts w:ascii="Times New Roman" w:hAnsi="Times New Roman" w:cs="Times New Roman"/>
          <w:sz w:val="24"/>
          <w:szCs w:val="24"/>
        </w:rPr>
        <w:t>. Увеличение доходов связано с увеличением</w:t>
      </w:r>
      <w:r w:rsidR="00E67792" w:rsidRPr="00B96447">
        <w:rPr>
          <w:rFonts w:ascii="Times New Roman" w:hAnsi="Times New Roman" w:cs="Times New Roman"/>
          <w:sz w:val="24"/>
          <w:szCs w:val="24"/>
        </w:rPr>
        <w:t>:</w:t>
      </w:r>
    </w:p>
    <w:p w:rsidR="00DD68B2" w:rsidRPr="008F68B2" w:rsidRDefault="00915BE6" w:rsidP="008F68B2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945D6">
        <w:rPr>
          <w:rFonts w:ascii="Times New Roman" w:hAnsi="Times New Roman" w:cs="Times New Roman"/>
          <w:i/>
          <w:sz w:val="24"/>
          <w:szCs w:val="24"/>
          <w:u w:val="single"/>
        </w:rPr>
        <w:t>налоговых и</w:t>
      </w:r>
      <w:r w:rsidR="00DD68B2" w:rsidRPr="00F945D6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неналоговы</w:t>
      </w:r>
      <w:r w:rsidR="00E6569A" w:rsidRPr="00F945D6">
        <w:rPr>
          <w:rFonts w:ascii="Times New Roman" w:hAnsi="Times New Roman" w:cs="Times New Roman"/>
          <w:i/>
          <w:sz w:val="24"/>
          <w:szCs w:val="24"/>
          <w:u w:val="single"/>
        </w:rPr>
        <w:t>х</w:t>
      </w:r>
      <w:r w:rsidR="00DD68B2" w:rsidRPr="00F945D6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доход</w:t>
      </w:r>
      <w:r w:rsidR="00E6569A" w:rsidRPr="00F945D6">
        <w:rPr>
          <w:rFonts w:ascii="Times New Roman" w:hAnsi="Times New Roman" w:cs="Times New Roman"/>
          <w:i/>
          <w:sz w:val="24"/>
          <w:szCs w:val="24"/>
          <w:u w:val="single"/>
        </w:rPr>
        <w:t>ов</w:t>
      </w:r>
      <w:r w:rsidR="006005EE" w:rsidRPr="008F68B2">
        <w:rPr>
          <w:rFonts w:ascii="Times New Roman" w:hAnsi="Times New Roman" w:cs="Times New Roman"/>
          <w:sz w:val="24"/>
          <w:szCs w:val="24"/>
        </w:rPr>
        <w:t xml:space="preserve"> на </w:t>
      </w:r>
      <w:r w:rsidR="003A0DEA">
        <w:rPr>
          <w:rFonts w:ascii="Times New Roman" w:hAnsi="Times New Roman" w:cs="Times New Roman"/>
          <w:sz w:val="24"/>
          <w:szCs w:val="24"/>
        </w:rPr>
        <w:t>7 026,3</w:t>
      </w:r>
      <w:r w:rsidR="006005EE" w:rsidRPr="008F68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05EE" w:rsidRPr="008F68B2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6005EE" w:rsidRPr="008F68B2">
        <w:rPr>
          <w:rFonts w:ascii="Times New Roman" w:hAnsi="Times New Roman" w:cs="Times New Roman"/>
          <w:sz w:val="24"/>
          <w:szCs w:val="24"/>
        </w:rPr>
        <w:t xml:space="preserve"> (или на </w:t>
      </w:r>
      <w:r w:rsidR="00DD68B2" w:rsidRPr="008F68B2">
        <w:rPr>
          <w:rFonts w:ascii="Times New Roman" w:hAnsi="Times New Roman" w:cs="Times New Roman"/>
          <w:sz w:val="24"/>
          <w:szCs w:val="24"/>
        </w:rPr>
        <w:t>6,0</w:t>
      </w:r>
      <w:r w:rsidR="006005EE" w:rsidRPr="008F68B2">
        <w:rPr>
          <w:rFonts w:ascii="Times New Roman" w:hAnsi="Times New Roman" w:cs="Times New Roman"/>
          <w:sz w:val="24"/>
          <w:szCs w:val="24"/>
        </w:rPr>
        <w:t xml:space="preserve">%) </w:t>
      </w:r>
      <w:r w:rsidR="00337977" w:rsidRPr="008F68B2">
        <w:rPr>
          <w:rFonts w:ascii="Times New Roman" w:hAnsi="Times New Roman" w:cs="Times New Roman"/>
          <w:sz w:val="24"/>
          <w:szCs w:val="24"/>
        </w:rPr>
        <w:t xml:space="preserve">и составят </w:t>
      </w:r>
      <w:r w:rsidR="003A0DEA">
        <w:rPr>
          <w:rFonts w:ascii="Times New Roman" w:eastAsia="Times New Roman" w:hAnsi="Times New Roman" w:cs="Times New Roman"/>
          <w:b/>
          <w:sz w:val="24"/>
          <w:szCs w:val="24"/>
        </w:rPr>
        <w:t>221 329,4</w:t>
      </w:r>
      <w:r w:rsidR="00337977" w:rsidRPr="008F68B2">
        <w:rPr>
          <w:rFonts w:ascii="Times New Roman" w:eastAsia="Times New Roman" w:hAnsi="Times New Roman" w:cs="Times New Roman"/>
          <w:sz w:val="24"/>
          <w:szCs w:val="24"/>
        </w:rPr>
        <w:t xml:space="preserve"> тыс.рублей</w:t>
      </w:r>
      <w:r w:rsidR="00337977" w:rsidRPr="008F68B2">
        <w:rPr>
          <w:rFonts w:ascii="Times New Roman" w:hAnsi="Times New Roman" w:cs="Times New Roman"/>
          <w:sz w:val="24"/>
          <w:szCs w:val="24"/>
        </w:rPr>
        <w:t xml:space="preserve"> </w:t>
      </w:r>
      <w:r w:rsidR="006005EE" w:rsidRPr="008F68B2">
        <w:rPr>
          <w:rFonts w:ascii="Times New Roman" w:hAnsi="Times New Roman" w:cs="Times New Roman"/>
          <w:sz w:val="24"/>
          <w:szCs w:val="24"/>
        </w:rPr>
        <w:t>за счет</w:t>
      </w:r>
      <w:r w:rsidR="00DD68B2" w:rsidRPr="008F68B2">
        <w:rPr>
          <w:rFonts w:ascii="Times New Roman" w:hAnsi="Times New Roman" w:cs="Times New Roman"/>
          <w:sz w:val="24"/>
          <w:szCs w:val="24"/>
        </w:rPr>
        <w:t>:</w:t>
      </w:r>
      <w:r w:rsidR="006005EE" w:rsidRPr="008F68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69A" w:rsidRPr="00E6569A" w:rsidRDefault="00E6569A" w:rsidP="00E6569A">
      <w:pPr>
        <w:pStyle w:val="a3"/>
        <w:ind w:left="72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тыс.рублей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276"/>
        <w:gridCol w:w="993"/>
        <w:gridCol w:w="992"/>
        <w:gridCol w:w="2267"/>
      </w:tblGrid>
      <w:tr w:rsidR="00DD68B2" w:rsidRPr="007210AF" w:rsidTr="00E6569A">
        <w:trPr>
          <w:trHeight w:val="70"/>
        </w:trPr>
        <w:tc>
          <w:tcPr>
            <w:tcW w:w="4962" w:type="dxa"/>
            <w:vMerge w:val="restart"/>
            <w:shd w:val="clear" w:color="auto" w:fill="D9D9D9" w:themeFill="background1" w:themeFillShade="D9"/>
            <w:vAlign w:val="center"/>
          </w:tcPr>
          <w:p w:rsidR="00DD68B2" w:rsidRPr="007210AF" w:rsidRDefault="00E6569A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="00DD68B2" w:rsidRPr="007210AF">
              <w:rPr>
                <w:b/>
                <w:bCs/>
                <w:sz w:val="20"/>
                <w:szCs w:val="20"/>
              </w:rPr>
              <w:t>аименование кода дохода бюджета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10AF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DD68B2" w:rsidRPr="007210AF" w:rsidRDefault="008F68B2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="00DD68B2" w:rsidRPr="007210AF">
              <w:rPr>
                <w:b/>
                <w:bCs/>
                <w:sz w:val="20"/>
                <w:szCs w:val="20"/>
              </w:rPr>
              <w:t>лановый период</w:t>
            </w:r>
          </w:p>
        </w:tc>
        <w:tc>
          <w:tcPr>
            <w:tcW w:w="2267" w:type="dxa"/>
            <w:vMerge w:val="restart"/>
            <w:shd w:val="clear" w:color="auto" w:fill="D9D9D9" w:themeFill="background1" w:themeFillShade="D9"/>
            <w:vAlign w:val="center"/>
          </w:tcPr>
          <w:p w:rsidR="00DD68B2" w:rsidRPr="007210AF" w:rsidRDefault="008F68B2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="00DD68B2" w:rsidRPr="007210AF">
              <w:rPr>
                <w:b/>
                <w:bCs/>
                <w:sz w:val="20"/>
                <w:szCs w:val="20"/>
              </w:rPr>
              <w:t>ричина изменений</w:t>
            </w:r>
          </w:p>
        </w:tc>
      </w:tr>
      <w:tr w:rsidR="00DD68B2" w:rsidRPr="007210AF" w:rsidTr="00E6569A">
        <w:trPr>
          <w:trHeight w:val="70"/>
        </w:trPr>
        <w:tc>
          <w:tcPr>
            <w:tcW w:w="4962" w:type="dxa"/>
            <w:vMerge/>
            <w:shd w:val="clear" w:color="auto" w:fill="D9D9D9" w:themeFill="background1" w:themeFillShade="D9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210AF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210AF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:rsidR="00DD68B2" w:rsidRPr="007210AF" w:rsidRDefault="00DD68B2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A0DEA" w:rsidRPr="007210AF" w:rsidTr="007210AF">
        <w:trPr>
          <w:trHeight w:val="342"/>
        </w:trPr>
        <w:tc>
          <w:tcPr>
            <w:tcW w:w="4962" w:type="dxa"/>
            <w:shd w:val="clear" w:color="auto" w:fill="auto"/>
          </w:tcPr>
          <w:p w:rsidR="003A0DEA" w:rsidRPr="003A0DEA" w:rsidRDefault="003A0DEA" w:rsidP="003A0DEA">
            <w:pPr>
              <w:jc w:val="both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+477,0</w:t>
            </w:r>
          </w:p>
        </w:tc>
        <w:tc>
          <w:tcPr>
            <w:tcW w:w="993" w:type="dxa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0,0</w:t>
            </w:r>
          </w:p>
        </w:tc>
        <w:tc>
          <w:tcPr>
            <w:tcW w:w="2267" w:type="dxa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A0DEA">
              <w:rPr>
                <w:sz w:val="19"/>
                <w:szCs w:val="19"/>
                <w:lang w:eastAsia="en-US"/>
              </w:rPr>
              <w:t>Фактическое поступление платежей</w:t>
            </w:r>
          </w:p>
        </w:tc>
      </w:tr>
      <w:tr w:rsidR="003A0DEA" w:rsidRPr="007210AF" w:rsidTr="007210AF">
        <w:trPr>
          <w:trHeight w:val="200"/>
        </w:trPr>
        <w:tc>
          <w:tcPr>
            <w:tcW w:w="4962" w:type="dxa"/>
            <w:shd w:val="clear" w:color="auto" w:fill="auto"/>
          </w:tcPr>
          <w:p w:rsidR="003A0DEA" w:rsidRPr="003A0DEA" w:rsidRDefault="003A0DEA" w:rsidP="003A0DEA">
            <w:pPr>
              <w:jc w:val="both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(пени и проценты по соответствующему платежу)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+143,5</w:t>
            </w:r>
          </w:p>
        </w:tc>
        <w:tc>
          <w:tcPr>
            <w:tcW w:w="993" w:type="dxa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0,0</w:t>
            </w:r>
          </w:p>
        </w:tc>
        <w:tc>
          <w:tcPr>
            <w:tcW w:w="2267" w:type="dxa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A0DEA">
              <w:rPr>
                <w:sz w:val="19"/>
                <w:szCs w:val="19"/>
                <w:lang w:eastAsia="en-US"/>
              </w:rPr>
              <w:t>Фактическое поступление платежей</w:t>
            </w:r>
          </w:p>
        </w:tc>
      </w:tr>
      <w:tr w:rsidR="003A0DEA" w:rsidRPr="007210AF" w:rsidTr="007210AF">
        <w:trPr>
          <w:trHeight w:val="200"/>
        </w:trPr>
        <w:tc>
          <w:tcPr>
            <w:tcW w:w="4962" w:type="dxa"/>
            <w:shd w:val="clear" w:color="auto" w:fill="auto"/>
          </w:tcPr>
          <w:p w:rsidR="003A0DEA" w:rsidRPr="003A0DEA" w:rsidRDefault="003A0DEA" w:rsidP="003A0DEA">
            <w:pPr>
              <w:jc w:val="both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+900,1</w:t>
            </w:r>
          </w:p>
        </w:tc>
        <w:tc>
          <w:tcPr>
            <w:tcW w:w="993" w:type="dxa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0,0</w:t>
            </w:r>
          </w:p>
        </w:tc>
        <w:tc>
          <w:tcPr>
            <w:tcW w:w="2267" w:type="dxa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A0DEA">
              <w:rPr>
                <w:sz w:val="19"/>
                <w:szCs w:val="19"/>
                <w:lang w:eastAsia="en-US"/>
              </w:rPr>
              <w:t>Фактическое поступление платежей</w:t>
            </w:r>
          </w:p>
        </w:tc>
      </w:tr>
      <w:tr w:rsidR="003A0DEA" w:rsidRPr="007210AF" w:rsidTr="007210AF">
        <w:trPr>
          <w:trHeight w:val="200"/>
        </w:trPr>
        <w:tc>
          <w:tcPr>
            <w:tcW w:w="4962" w:type="dxa"/>
            <w:shd w:val="clear" w:color="auto" w:fill="auto"/>
          </w:tcPr>
          <w:p w:rsidR="003A0DEA" w:rsidRPr="003A0DEA" w:rsidRDefault="003A0DEA" w:rsidP="003A0DEA">
            <w:pPr>
              <w:jc w:val="both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(прочие доходы)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+9,6</w:t>
            </w:r>
          </w:p>
        </w:tc>
        <w:tc>
          <w:tcPr>
            <w:tcW w:w="993" w:type="dxa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0,0</w:t>
            </w:r>
          </w:p>
        </w:tc>
        <w:tc>
          <w:tcPr>
            <w:tcW w:w="2267" w:type="dxa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A0DEA">
              <w:rPr>
                <w:sz w:val="19"/>
                <w:szCs w:val="19"/>
                <w:lang w:eastAsia="en-US"/>
              </w:rPr>
              <w:t>Фактическое поступление платежей</w:t>
            </w:r>
          </w:p>
        </w:tc>
      </w:tr>
      <w:tr w:rsidR="003A0DEA" w:rsidRPr="007210AF" w:rsidTr="007210AF">
        <w:trPr>
          <w:trHeight w:val="200"/>
        </w:trPr>
        <w:tc>
          <w:tcPr>
            <w:tcW w:w="4962" w:type="dxa"/>
            <w:shd w:val="clear" w:color="auto" w:fill="auto"/>
          </w:tcPr>
          <w:p w:rsidR="003A0DEA" w:rsidRPr="003A0DEA" w:rsidRDefault="003A0DEA" w:rsidP="003A0DEA">
            <w:pPr>
              <w:jc w:val="both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Прочие доходы от компенсации затрат бюджетов городских поселений (возврат дебиторской задолженности прошлых лет)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+9,1</w:t>
            </w:r>
          </w:p>
        </w:tc>
        <w:tc>
          <w:tcPr>
            <w:tcW w:w="993" w:type="dxa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A0DEA">
              <w:rPr>
                <w:sz w:val="19"/>
                <w:szCs w:val="19"/>
              </w:rPr>
              <w:t>0,0</w:t>
            </w:r>
          </w:p>
        </w:tc>
        <w:tc>
          <w:tcPr>
            <w:tcW w:w="2267" w:type="dxa"/>
            <w:vAlign w:val="center"/>
          </w:tcPr>
          <w:p w:rsidR="003A0DEA" w:rsidRPr="003A0DEA" w:rsidRDefault="003A0DEA" w:rsidP="003A0D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A0DEA">
              <w:rPr>
                <w:sz w:val="19"/>
                <w:szCs w:val="19"/>
                <w:lang w:eastAsia="en-US"/>
              </w:rPr>
              <w:t>Фактическое поступление платежей</w:t>
            </w:r>
          </w:p>
        </w:tc>
      </w:tr>
      <w:tr w:rsidR="006D6B37" w:rsidRPr="007210AF" w:rsidTr="00EA7F4F">
        <w:trPr>
          <w:trHeight w:val="238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6D6B37" w:rsidRPr="00E6569A" w:rsidRDefault="006D6B37" w:rsidP="006D6B37">
            <w:pPr>
              <w:jc w:val="both"/>
              <w:rPr>
                <w:b/>
              </w:rPr>
            </w:pPr>
            <w:r w:rsidRPr="00E6569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D6B37" w:rsidRPr="006D6B37" w:rsidRDefault="006D6B37" w:rsidP="006D6B3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6B37">
              <w:rPr>
                <w:b/>
                <w:sz w:val="20"/>
                <w:szCs w:val="20"/>
              </w:rPr>
              <w:t>7 026,3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D6B37" w:rsidRPr="006D6B37" w:rsidRDefault="006D6B37" w:rsidP="006D6B3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6B3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D6B37" w:rsidRPr="006D6B37" w:rsidRDefault="006D6B37" w:rsidP="006D6B3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6B3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:rsidR="006D6B37" w:rsidRPr="00E6569A" w:rsidRDefault="006D6B37" w:rsidP="006D6B37">
            <w:pPr>
              <w:autoSpaceDE w:val="0"/>
              <w:autoSpaceDN w:val="0"/>
              <w:adjustRightInd w:val="0"/>
              <w:jc w:val="center"/>
              <w:rPr>
                <w:b/>
                <w:i/>
                <w:u w:val="single"/>
                <w:lang w:eastAsia="en-US"/>
              </w:rPr>
            </w:pPr>
          </w:p>
        </w:tc>
      </w:tr>
    </w:tbl>
    <w:p w:rsidR="00337977" w:rsidRPr="00337977" w:rsidRDefault="00337977" w:rsidP="00E46360">
      <w:pPr>
        <w:tabs>
          <w:tab w:val="left" w:pos="720"/>
          <w:tab w:val="left" w:pos="1740"/>
        </w:tabs>
        <w:jc w:val="both"/>
        <w:rPr>
          <w:i/>
        </w:rPr>
      </w:pPr>
      <w:r w:rsidRPr="00337977">
        <w:rPr>
          <w:i/>
        </w:rPr>
        <w:t>Налоговые и неналоговые доходы бюджета поселения, утвержденные на 2024 и 2025</w:t>
      </w:r>
      <w:r>
        <w:rPr>
          <w:i/>
        </w:rPr>
        <w:t xml:space="preserve"> годы, </w:t>
      </w:r>
      <w:r w:rsidRPr="00337977">
        <w:rPr>
          <w:i/>
        </w:rPr>
        <w:t xml:space="preserve">остаются </w:t>
      </w:r>
      <w:r w:rsidR="008F2090">
        <w:rPr>
          <w:i/>
        </w:rPr>
        <w:t>без изменений</w:t>
      </w:r>
      <w:r w:rsidRPr="00337977">
        <w:rPr>
          <w:i/>
        </w:rPr>
        <w:t xml:space="preserve"> и составляют </w:t>
      </w:r>
      <w:r w:rsidRPr="00337977">
        <w:rPr>
          <w:b/>
          <w:i/>
        </w:rPr>
        <w:t xml:space="preserve">212 853,3 </w:t>
      </w:r>
      <w:proofErr w:type="gramStart"/>
      <w:r>
        <w:rPr>
          <w:i/>
        </w:rPr>
        <w:t>тыс.</w:t>
      </w:r>
      <w:r w:rsidRPr="00337977">
        <w:rPr>
          <w:i/>
        </w:rPr>
        <w:t>рублей</w:t>
      </w:r>
      <w:proofErr w:type="gramEnd"/>
      <w:r w:rsidRPr="00337977">
        <w:rPr>
          <w:i/>
        </w:rPr>
        <w:t xml:space="preserve"> и </w:t>
      </w:r>
      <w:r w:rsidRPr="00337977">
        <w:rPr>
          <w:b/>
          <w:i/>
        </w:rPr>
        <w:t>226 516,6</w:t>
      </w:r>
      <w:r>
        <w:rPr>
          <w:i/>
        </w:rPr>
        <w:t xml:space="preserve"> тыс.</w:t>
      </w:r>
      <w:r w:rsidRPr="00337977">
        <w:rPr>
          <w:i/>
        </w:rPr>
        <w:t>рублей соответственно.</w:t>
      </w:r>
    </w:p>
    <w:p w:rsidR="003B30AB" w:rsidRPr="001B2F39" w:rsidRDefault="0031732C" w:rsidP="00731571">
      <w:pPr>
        <w:pStyle w:val="a8"/>
        <w:numPr>
          <w:ilvl w:val="0"/>
          <w:numId w:val="17"/>
        </w:numPr>
        <w:tabs>
          <w:tab w:val="left" w:pos="567"/>
        </w:tabs>
        <w:ind w:left="426"/>
        <w:jc w:val="both"/>
      </w:pPr>
      <w:r w:rsidRPr="00F945D6">
        <w:rPr>
          <w:i/>
          <w:u w:val="single"/>
          <w:lang w:eastAsia="en-US"/>
        </w:rPr>
        <w:t>безвозмездных поступлений</w:t>
      </w:r>
      <w:r w:rsidR="003B30AB" w:rsidRPr="001B2F39">
        <w:rPr>
          <w:lang w:eastAsia="en-US"/>
        </w:rPr>
        <w:t xml:space="preserve"> на основании уведомлений</w:t>
      </w:r>
      <w:r w:rsidR="003B30AB" w:rsidRPr="001B2F39">
        <w:t xml:space="preserve"> о предоставлении субсидий, субвенций, иного межбюджетного трансферта, имеющего целевое назначение на 2023 год и плановый период 2024 и 2025 годов, </w:t>
      </w:r>
      <w:r w:rsidR="00731571" w:rsidRPr="001B2F39">
        <w:rPr>
          <w:lang w:eastAsia="en-US"/>
        </w:rPr>
        <w:t>и планируются</w:t>
      </w:r>
      <w:r w:rsidR="003B30AB" w:rsidRPr="001B2F39">
        <w:rPr>
          <w:lang w:eastAsia="en-US"/>
        </w:rPr>
        <w:t xml:space="preserve"> к утверждению</w:t>
      </w:r>
      <w:r w:rsidR="003B30AB" w:rsidRPr="001B2F39">
        <w:rPr>
          <w:i/>
          <w:lang w:eastAsia="en-US"/>
        </w:rPr>
        <w:t>:</w:t>
      </w:r>
      <w:r w:rsidRPr="001B2F39">
        <w:rPr>
          <w:i/>
          <w:lang w:eastAsia="en-US"/>
        </w:rPr>
        <w:t xml:space="preserve"> </w:t>
      </w:r>
    </w:p>
    <w:p w:rsidR="003B30AB" w:rsidRPr="001B2F39" w:rsidRDefault="003B30AB" w:rsidP="00731571">
      <w:pPr>
        <w:pStyle w:val="a8"/>
        <w:numPr>
          <w:ilvl w:val="0"/>
          <w:numId w:val="47"/>
        </w:numPr>
        <w:tabs>
          <w:tab w:val="left" w:pos="567"/>
        </w:tabs>
        <w:ind w:left="567" w:hanging="207"/>
        <w:jc w:val="both"/>
        <w:rPr>
          <w:lang w:eastAsia="en-US"/>
        </w:rPr>
      </w:pPr>
      <w:r w:rsidRPr="001B2F39">
        <w:t>на 2023 год</w:t>
      </w:r>
      <w:r w:rsidRPr="001B2F39">
        <w:rPr>
          <w:lang w:eastAsia="en-US"/>
        </w:rPr>
        <w:t xml:space="preserve"> в сумме </w:t>
      </w:r>
      <w:r w:rsidRPr="001B2F39">
        <w:rPr>
          <w:b/>
          <w:lang w:eastAsia="en-US"/>
        </w:rPr>
        <w:t>385 408,5</w:t>
      </w:r>
      <w:r w:rsidRPr="001B2F39">
        <w:rPr>
          <w:lang w:eastAsia="en-US"/>
        </w:rPr>
        <w:t xml:space="preserve"> </w:t>
      </w:r>
      <w:proofErr w:type="gramStart"/>
      <w:r w:rsidRPr="001B2F39">
        <w:rPr>
          <w:lang w:eastAsia="en-US"/>
        </w:rPr>
        <w:t>тыс.рублей</w:t>
      </w:r>
      <w:proofErr w:type="gramEnd"/>
      <w:r w:rsidRPr="001B2F39">
        <w:t xml:space="preserve"> с увеличением </w:t>
      </w:r>
      <w:r w:rsidR="00B96447" w:rsidRPr="001B2F39">
        <w:t>на</w:t>
      </w:r>
      <w:r w:rsidR="0031732C" w:rsidRPr="001B2F39">
        <w:t xml:space="preserve"> 140 672,4 </w:t>
      </w:r>
      <w:r w:rsidR="00B96447" w:rsidRPr="001B2F39">
        <w:rPr>
          <w:lang w:eastAsia="en-US"/>
        </w:rPr>
        <w:t>тыс.</w:t>
      </w:r>
      <w:r w:rsidR="0031732C" w:rsidRPr="001B2F39">
        <w:rPr>
          <w:lang w:eastAsia="en-US"/>
        </w:rPr>
        <w:t xml:space="preserve">рублей </w:t>
      </w:r>
      <w:r w:rsidR="00B96447" w:rsidRPr="001B2F39">
        <w:rPr>
          <w:lang w:eastAsia="en-US"/>
        </w:rPr>
        <w:t>(или на 57,5%)</w:t>
      </w:r>
      <w:r w:rsidRPr="001B2F39">
        <w:rPr>
          <w:lang w:eastAsia="en-US"/>
        </w:rPr>
        <w:t>;</w:t>
      </w:r>
    </w:p>
    <w:p w:rsidR="003B30AB" w:rsidRPr="001B2F39" w:rsidRDefault="0031732C" w:rsidP="00731571">
      <w:pPr>
        <w:pStyle w:val="a8"/>
        <w:numPr>
          <w:ilvl w:val="0"/>
          <w:numId w:val="47"/>
        </w:numPr>
        <w:tabs>
          <w:tab w:val="left" w:pos="567"/>
        </w:tabs>
        <w:ind w:left="567" w:hanging="207"/>
        <w:jc w:val="both"/>
      </w:pPr>
      <w:r w:rsidRPr="001B2F39">
        <w:t xml:space="preserve">на 2024 год </w:t>
      </w:r>
      <w:r w:rsidR="003B30AB" w:rsidRPr="001B2F39">
        <w:t xml:space="preserve">в сумме </w:t>
      </w:r>
      <w:r w:rsidR="003B30AB" w:rsidRPr="001B2F39">
        <w:rPr>
          <w:b/>
        </w:rPr>
        <w:t>254 977,3</w:t>
      </w:r>
      <w:r w:rsidR="003B30AB" w:rsidRPr="001B2F39">
        <w:t xml:space="preserve"> </w:t>
      </w:r>
      <w:proofErr w:type="gramStart"/>
      <w:r w:rsidR="003B30AB" w:rsidRPr="001B2F39">
        <w:t>тыс.рублей</w:t>
      </w:r>
      <w:proofErr w:type="gramEnd"/>
      <w:r w:rsidR="003B30AB" w:rsidRPr="001B2F39">
        <w:t xml:space="preserve"> </w:t>
      </w:r>
      <w:r w:rsidR="009D6B7A" w:rsidRPr="009D6B7A">
        <w:t>(без изменений)</w:t>
      </w:r>
      <w:r w:rsidR="007370A9" w:rsidRPr="001B2F39">
        <w:rPr>
          <w:lang w:eastAsia="en-US"/>
        </w:rPr>
        <w:t>;</w:t>
      </w:r>
    </w:p>
    <w:p w:rsidR="003B30AB" w:rsidRPr="001B2F39" w:rsidRDefault="003B30AB" w:rsidP="00731571">
      <w:pPr>
        <w:pStyle w:val="a8"/>
        <w:numPr>
          <w:ilvl w:val="0"/>
          <w:numId w:val="47"/>
        </w:numPr>
        <w:tabs>
          <w:tab w:val="left" w:pos="567"/>
        </w:tabs>
        <w:ind w:left="567" w:hanging="207"/>
        <w:jc w:val="both"/>
      </w:pPr>
      <w:r w:rsidRPr="001B2F39">
        <w:t>на</w:t>
      </w:r>
      <w:r w:rsidR="0031732C" w:rsidRPr="001B2F39">
        <w:t xml:space="preserve"> 2025 году </w:t>
      </w:r>
      <w:r w:rsidRPr="001B2F39">
        <w:t xml:space="preserve">в сумме </w:t>
      </w:r>
      <w:r w:rsidR="0031732C" w:rsidRPr="001B2F39">
        <w:rPr>
          <w:b/>
        </w:rPr>
        <w:t>25 954,1</w:t>
      </w:r>
      <w:r w:rsidRPr="001B2F39">
        <w:t xml:space="preserve"> </w:t>
      </w:r>
      <w:proofErr w:type="gramStart"/>
      <w:r w:rsidRPr="001B2F39">
        <w:t>тыс.</w:t>
      </w:r>
      <w:r w:rsidR="0031732C" w:rsidRPr="001B2F39">
        <w:t>рублей</w:t>
      </w:r>
      <w:proofErr w:type="gramEnd"/>
      <w:r w:rsidRPr="001B2F39">
        <w:t xml:space="preserve"> </w:t>
      </w:r>
      <w:bookmarkStart w:id="4" w:name="_Hlk153270033"/>
      <w:r w:rsidRPr="001B2F39">
        <w:t>(без изменений)</w:t>
      </w:r>
      <w:bookmarkEnd w:id="4"/>
      <w:r w:rsidR="0031732C" w:rsidRPr="001B2F39">
        <w:t xml:space="preserve">. </w:t>
      </w:r>
    </w:p>
    <w:p w:rsidR="00EA7F4F" w:rsidRDefault="00EA7F4F" w:rsidP="003B30AB">
      <w:pPr>
        <w:pStyle w:val="a8"/>
        <w:tabs>
          <w:tab w:val="left" w:pos="0"/>
        </w:tabs>
        <w:ind w:left="0"/>
        <w:jc w:val="right"/>
        <w:rPr>
          <w:sz w:val="18"/>
          <w:szCs w:val="18"/>
          <w:lang w:eastAsia="en-US"/>
        </w:rPr>
      </w:pPr>
    </w:p>
    <w:p w:rsidR="0031732C" w:rsidRPr="0031732C" w:rsidRDefault="0031732C" w:rsidP="003B30AB">
      <w:pPr>
        <w:pStyle w:val="a8"/>
        <w:tabs>
          <w:tab w:val="left" w:pos="0"/>
        </w:tabs>
        <w:ind w:left="0"/>
        <w:jc w:val="right"/>
        <w:rPr>
          <w:sz w:val="18"/>
          <w:szCs w:val="18"/>
          <w:lang w:eastAsia="en-US"/>
        </w:rPr>
      </w:pPr>
      <w:r w:rsidRPr="0031732C">
        <w:rPr>
          <w:sz w:val="18"/>
          <w:szCs w:val="18"/>
          <w:lang w:eastAsia="en-US"/>
        </w:rPr>
        <w:lastRenderedPageBreak/>
        <w:t>(тыс. рублей)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678"/>
        <w:gridCol w:w="992"/>
        <w:gridCol w:w="851"/>
        <w:gridCol w:w="819"/>
        <w:gridCol w:w="33"/>
        <w:gridCol w:w="1416"/>
      </w:tblGrid>
      <w:tr w:rsidR="00EA7F4F" w:rsidRPr="003B30AB" w:rsidTr="00EA7F4F">
        <w:trPr>
          <w:trHeight w:val="249"/>
          <w:tblHeader/>
        </w:trPr>
        <w:tc>
          <w:tcPr>
            <w:tcW w:w="1872" w:type="dxa"/>
            <w:vMerge w:val="restart"/>
            <w:shd w:val="clear" w:color="auto" w:fill="D9D9D9" w:themeFill="background1" w:themeFillShade="D9"/>
            <w:vAlign w:val="center"/>
          </w:tcPr>
          <w:p w:rsidR="00EA7F4F" w:rsidRPr="003B30AB" w:rsidRDefault="00EA7F4F" w:rsidP="00B964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Pr="003B30AB">
              <w:rPr>
                <w:b/>
                <w:bCs/>
                <w:sz w:val="20"/>
                <w:szCs w:val="20"/>
              </w:rPr>
              <w:t>од</w:t>
            </w:r>
          </w:p>
        </w:tc>
        <w:tc>
          <w:tcPr>
            <w:tcW w:w="4678" w:type="dxa"/>
            <w:vMerge w:val="restart"/>
            <w:shd w:val="clear" w:color="auto" w:fill="D9D9D9" w:themeFill="background1" w:themeFillShade="D9"/>
            <w:vAlign w:val="center"/>
          </w:tcPr>
          <w:p w:rsidR="00EA7F4F" w:rsidRPr="003B30AB" w:rsidRDefault="00EA7F4F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3B30AB">
              <w:rPr>
                <w:b/>
                <w:bCs/>
                <w:sz w:val="20"/>
                <w:szCs w:val="20"/>
              </w:rPr>
              <w:t>аименование кода дохода бюджета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EA7F4F" w:rsidRPr="003B30AB" w:rsidRDefault="00EA7F4F" w:rsidP="00B96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0AB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670" w:type="dxa"/>
            <w:gridSpan w:val="2"/>
            <w:shd w:val="clear" w:color="auto" w:fill="D9D9D9" w:themeFill="background1" w:themeFillShade="D9"/>
            <w:vAlign w:val="center"/>
          </w:tcPr>
          <w:p w:rsidR="00EA7F4F" w:rsidRPr="00EA7F4F" w:rsidRDefault="00EA7F4F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A7F4F">
              <w:rPr>
                <w:b/>
                <w:bCs/>
                <w:sz w:val="18"/>
                <w:szCs w:val="18"/>
              </w:rPr>
              <w:t>плановый период</w:t>
            </w:r>
          </w:p>
        </w:tc>
        <w:tc>
          <w:tcPr>
            <w:tcW w:w="144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A7F4F" w:rsidRPr="003B30AB" w:rsidRDefault="00EA7F4F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3B30AB">
              <w:rPr>
                <w:b/>
                <w:bCs/>
                <w:sz w:val="20"/>
                <w:szCs w:val="20"/>
              </w:rPr>
              <w:t>ричина изменений</w:t>
            </w:r>
          </w:p>
        </w:tc>
      </w:tr>
      <w:tr w:rsidR="00EA7F4F" w:rsidRPr="003B30AB" w:rsidTr="00EA7F4F">
        <w:trPr>
          <w:trHeight w:val="222"/>
          <w:tblHeader/>
        </w:trPr>
        <w:tc>
          <w:tcPr>
            <w:tcW w:w="1872" w:type="dxa"/>
            <w:vMerge/>
          </w:tcPr>
          <w:p w:rsidR="00EA7F4F" w:rsidRPr="003B30AB" w:rsidRDefault="00EA7F4F" w:rsidP="00B964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EA7F4F" w:rsidRPr="003B30AB" w:rsidRDefault="00EA7F4F" w:rsidP="00B964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7F4F" w:rsidRPr="003B30AB" w:rsidRDefault="00EA7F4F" w:rsidP="00B964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A7F4F" w:rsidRPr="004B7233" w:rsidRDefault="00EA7F4F" w:rsidP="004B7233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4B7233">
              <w:rPr>
                <w:b/>
                <w:bCs/>
                <w:sz w:val="18"/>
                <w:szCs w:val="18"/>
              </w:rPr>
              <w:t>2024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B7233">
              <w:rPr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EA7F4F" w:rsidRPr="004B7233" w:rsidRDefault="00EA7F4F" w:rsidP="004B7233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4B7233">
              <w:rPr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1449" w:type="dxa"/>
            <w:gridSpan w:val="2"/>
            <w:vMerge/>
          </w:tcPr>
          <w:p w:rsidR="00EA7F4F" w:rsidRPr="003B30AB" w:rsidRDefault="00EA7F4F" w:rsidP="00B964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90270" w:rsidRPr="003B30AB" w:rsidTr="00EA7F4F">
        <w:trPr>
          <w:trHeight w:val="70"/>
        </w:trPr>
        <w:tc>
          <w:tcPr>
            <w:tcW w:w="1872" w:type="dxa"/>
            <w:vAlign w:val="center"/>
          </w:tcPr>
          <w:p w:rsidR="00F90270" w:rsidRPr="00EA7F4F" w:rsidRDefault="00F90270" w:rsidP="00F90270">
            <w:pPr>
              <w:jc w:val="center"/>
              <w:rPr>
                <w:sz w:val="16"/>
                <w:szCs w:val="16"/>
              </w:rPr>
            </w:pPr>
            <w:r w:rsidRPr="00EA7F4F">
              <w:rPr>
                <w:sz w:val="16"/>
                <w:szCs w:val="16"/>
              </w:rPr>
              <w:t>2 02 20303 13 0000 150</w:t>
            </w:r>
          </w:p>
        </w:tc>
        <w:tc>
          <w:tcPr>
            <w:tcW w:w="4678" w:type="dxa"/>
            <w:vAlign w:val="center"/>
          </w:tcPr>
          <w:p w:rsidR="00F90270" w:rsidRPr="00F90270" w:rsidRDefault="00F90270" w:rsidP="00F9027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F90270">
              <w:rPr>
                <w:i/>
                <w:sz w:val="18"/>
                <w:szCs w:val="18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992" w:type="dxa"/>
            <w:vAlign w:val="center"/>
          </w:tcPr>
          <w:p w:rsidR="00F90270" w:rsidRPr="00F90270" w:rsidRDefault="00F90270" w:rsidP="00F90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270">
              <w:rPr>
                <w:sz w:val="18"/>
                <w:szCs w:val="18"/>
              </w:rPr>
              <w:t>+13 117,2</w:t>
            </w:r>
          </w:p>
        </w:tc>
        <w:tc>
          <w:tcPr>
            <w:tcW w:w="851" w:type="dxa"/>
            <w:vAlign w:val="center"/>
          </w:tcPr>
          <w:p w:rsidR="00F90270" w:rsidRPr="00F90270" w:rsidRDefault="00F90270" w:rsidP="00F90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27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F90270" w:rsidRPr="00F90270" w:rsidRDefault="00F90270" w:rsidP="00F90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27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vAlign w:val="center"/>
          </w:tcPr>
          <w:p w:rsidR="00F90270" w:rsidRPr="009D6B7A" w:rsidRDefault="00F90270" w:rsidP="00F90270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9D6B7A">
              <w:rPr>
                <w:sz w:val="17"/>
                <w:szCs w:val="17"/>
              </w:rPr>
              <w:t xml:space="preserve">Уведомление №8120256                       от 16.10.2023 </w:t>
            </w:r>
          </w:p>
        </w:tc>
      </w:tr>
      <w:tr w:rsidR="00F90270" w:rsidRPr="003B30AB" w:rsidTr="00EA7F4F">
        <w:trPr>
          <w:trHeight w:val="479"/>
        </w:trPr>
        <w:tc>
          <w:tcPr>
            <w:tcW w:w="1872" w:type="dxa"/>
            <w:vAlign w:val="center"/>
          </w:tcPr>
          <w:p w:rsidR="00F90270" w:rsidRPr="00EA7F4F" w:rsidRDefault="00F90270" w:rsidP="00F90270">
            <w:pPr>
              <w:jc w:val="center"/>
              <w:rPr>
                <w:sz w:val="16"/>
                <w:szCs w:val="16"/>
              </w:rPr>
            </w:pPr>
            <w:r w:rsidRPr="00EA7F4F">
              <w:rPr>
                <w:sz w:val="16"/>
                <w:szCs w:val="16"/>
              </w:rPr>
              <w:t>2 02 25394 13 0000 150</w:t>
            </w:r>
          </w:p>
        </w:tc>
        <w:tc>
          <w:tcPr>
            <w:tcW w:w="4678" w:type="dxa"/>
            <w:vAlign w:val="center"/>
          </w:tcPr>
          <w:p w:rsidR="00F90270" w:rsidRPr="00F90270" w:rsidRDefault="00F90270" w:rsidP="00F9027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F90270">
              <w:rPr>
                <w:i/>
                <w:sz w:val="18"/>
                <w:szCs w:val="18"/>
              </w:rPr>
              <w:t>Субсидии бюджетам городских поселений на строительство (реконструкцию), капитальный ремонт и ремонт автомобильных дорог и искусственных дорожных сооружений</w:t>
            </w:r>
          </w:p>
        </w:tc>
        <w:tc>
          <w:tcPr>
            <w:tcW w:w="992" w:type="dxa"/>
            <w:vAlign w:val="center"/>
          </w:tcPr>
          <w:p w:rsidR="00F90270" w:rsidRPr="00F90270" w:rsidRDefault="00F90270" w:rsidP="00F90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90270">
              <w:rPr>
                <w:sz w:val="18"/>
                <w:szCs w:val="18"/>
              </w:rPr>
              <w:t>-13 814,</w:t>
            </w:r>
            <w:r w:rsidRPr="00F9027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F90270" w:rsidRPr="00F90270" w:rsidRDefault="00F90270" w:rsidP="00F90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27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F90270" w:rsidRPr="00F90270" w:rsidRDefault="00F90270" w:rsidP="00F90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27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vAlign w:val="center"/>
          </w:tcPr>
          <w:p w:rsidR="00F90270" w:rsidRPr="009D6B7A" w:rsidRDefault="00F90270" w:rsidP="00F90270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9D6B7A">
              <w:rPr>
                <w:sz w:val="17"/>
                <w:szCs w:val="17"/>
              </w:rPr>
              <w:t xml:space="preserve">Уведомление №8080164                      от 10.11.2023 </w:t>
            </w:r>
          </w:p>
        </w:tc>
      </w:tr>
      <w:tr w:rsidR="00F90270" w:rsidRPr="003B30AB" w:rsidTr="00EA7F4F">
        <w:trPr>
          <w:trHeight w:val="92"/>
        </w:trPr>
        <w:tc>
          <w:tcPr>
            <w:tcW w:w="1872" w:type="dxa"/>
            <w:vAlign w:val="center"/>
          </w:tcPr>
          <w:p w:rsidR="00F90270" w:rsidRPr="00EA7F4F" w:rsidRDefault="00F90270" w:rsidP="00F90270">
            <w:pPr>
              <w:jc w:val="center"/>
              <w:rPr>
                <w:sz w:val="16"/>
                <w:szCs w:val="16"/>
              </w:rPr>
            </w:pPr>
            <w:r w:rsidRPr="00EA7F4F">
              <w:rPr>
                <w:sz w:val="16"/>
                <w:szCs w:val="16"/>
              </w:rPr>
              <w:t>2 07 05030 13 0000 150</w:t>
            </w:r>
          </w:p>
        </w:tc>
        <w:tc>
          <w:tcPr>
            <w:tcW w:w="4678" w:type="dxa"/>
            <w:vAlign w:val="center"/>
          </w:tcPr>
          <w:p w:rsidR="00F90270" w:rsidRPr="00F90270" w:rsidRDefault="00F90270" w:rsidP="00F90270">
            <w:pPr>
              <w:jc w:val="both"/>
              <w:rPr>
                <w:i/>
                <w:sz w:val="18"/>
                <w:szCs w:val="18"/>
              </w:rPr>
            </w:pPr>
            <w:r w:rsidRPr="00F90270">
              <w:rPr>
                <w:i/>
                <w:sz w:val="18"/>
                <w:szCs w:val="1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992" w:type="dxa"/>
            <w:vAlign w:val="center"/>
          </w:tcPr>
          <w:p w:rsidR="00F90270" w:rsidRPr="00F90270" w:rsidRDefault="00F90270" w:rsidP="00F90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270">
              <w:rPr>
                <w:sz w:val="18"/>
                <w:szCs w:val="18"/>
              </w:rPr>
              <w:t>+200,0</w:t>
            </w:r>
          </w:p>
        </w:tc>
        <w:tc>
          <w:tcPr>
            <w:tcW w:w="851" w:type="dxa"/>
            <w:vAlign w:val="center"/>
          </w:tcPr>
          <w:p w:rsidR="00F90270" w:rsidRPr="00F90270" w:rsidRDefault="00F90270" w:rsidP="00F90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27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F90270" w:rsidRPr="00F90270" w:rsidRDefault="00F90270" w:rsidP="00F90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27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vAlign w:val="center"/>
          </w:tcPr>
          <w:p w:rsidR="00F90270" w:rsidRPr="009D6B7A" w:rsidRDefault="00F90270" w:rsidP="00F90270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9D6B7A">
              <w:rPr>
                <w:sz w:val="17"/>
                <w:szCs w:val="17"/>
              </w:rPr>
              <w:t xml:space="preserve">Платежное поручение              № 2701                         от 18.10.2023 </w:t>
            </w:r>
          </w:p>
        </w:tc>
      </w:tr>
      <w:tr w:rsidR="00F90270" w:rsidRPr="003B30AB" w:rsidTr="00EA7F4F">
        <w:trPr>
          <w:trHeight w:val="92"/>
        </w:trPr>
        <w:tc>
          <w:tcPr>
            <w:tcW w:w="1872" w:type="dxa"/>
            <w:vAlign w:val="center"/>
          </w:tcPr>
          <w:p w:rsidR="00F90270" w:rsidRPr="00EA7F4F" w:rsidRDefault="00F90270" w:rsidP="00F90270">
            <w:pPr>
              <w:jc w:val="center"/>
              <w:rPr>
                <w:sz w:val="16"/>
                <w:szCs w:val="16"/>
              </w:rPr>
            </w:pPr>
            <w:r w:rsidRPr="00EA7F4F">
              <w:rPr>
                <w:sz w:val="16"/>
                <w:szCs w:val="16"/>
              </w:rPr>
              <w:t>2 18 05010 13 0000 150</w:t>
            </w:r>
          </w:p>
        </w:tc>
        <w:tc>
          <w:tcPr>
            <w:tcW w:w="4678" w:type="dxa"/>
            <w:vAlign w:val="center"/>
          </w:tcPr>
          <w:p w:rsidR="00F90270" w:rsidRPr="00F90270" w:rsidRDefault="00F90270" w:rsidP="00F90270">
            <w:pPr>
              <w:jc w:val="both"/>
              <w:rPr>
                <w:i/>
                <w:sz w:val="18"/>
                <w:szCs w:val="18"/>
              </w:rPr>
            </w:pPr>
            <w:r w:rsidRPr="00F90270">
              <w:rPr>
                <w:i/>
                <w:sz w:val="18"/>
                <w:szCs w:val="18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  <w:tc>
          <w:tcPr>
            <w:tcW w:w="992" w:type="dxa"/>
            <w:vAlign w:val="center"/>
          </w:tcPr>
          <w:p w:rsidR="00F90270" w:rsidRPr="00F90270" w:rsidRDefault="00F90270" w:rsidP="00F90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270">
              <w:rPr>
                <w:sz w:val="18"/>
                <w:szCs w:val="18"/>
              </w:rPr>
              <w:t>+107,1</w:t>
            </w:r>
          </w:p>
        </w:tc>
        <w:tc>
          <w:tcPr>
            <w:tcW w:w="851" w:type="dxa"/>
            <w:vAlign w:val="center"/>
          </w:tcPr>
          <w:p w:rsidR="00F90270" w:rsidRPr="00F90270" w:rsidRDefault="00F90270" w:rsidP="00F90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27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F90270" w:rsidRPr="00F90270" w:rsidRDefault="00F90270" w:rsidP="00F90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27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vAlign w:val="center"/>
          </w:tcPr>
          <w:p w:rsidR="00F90270" w:rsidRPr="009D6B7A" w:rsidRDefault="00F90270" w:rsidP="00F90270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9D6B7A">
              <w:rPr>
                <w:sz w:val="17"/>
                <w:szCs w:val="17"/>
              </w:rPr>
              <w:t xml:space="preserve">Платежное поручение              № 77                                от 01.03.2023  </w:t>
            </w:r>
          </w:p>
        </w:tc>
      </w:tr>
      <w:tr w:rsidR="00F90270" w:rsidRPr="003B30AB" w:rsidTr="00EA7F4F">
        <w:trPr>
          <w:trHeight w:val="173"/>
        </w:trPr>
        <w:tc>
          <w:tcPr>
            <w:tcW w:w="6550" w:type="dxa"/>
            <w:gridSpan w:val="2"/>
            <w:shd w:val="clear" w:color="auto" w:fill="D9D9D9" w:themeFill="background1" w:themeFillShade="D9"/>
            <w:vAlign w:val="center"/>
          </w:tcPr>
          <w:p w:rsidR="00F90270" w:rsidRPr="00F90270" w:rsidRDefault="00F90270" w:rsidP="0032038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0270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0270" w:rsidRPr="00F90270" w:rsidRDefault="00F90270" w:rsidP="00F9027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90270">
              <w:rPr>
                <w:b/>
                <w:i/>
                <w:sz w:val="18"/>
                <w:szCs w:val="18"/>
              </w:rPr>
              <w:t>-390,2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90270" w:rsidRPr="00F90270" w:rsidRDefault="00F90270" w:rsidP="00F9027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90270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:rsidR="00F90270" w:rsidRPr="00F90270" w:rsidRDefault="00F90270" w:rsidP="00F9027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90270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F90270" w:rsidRPr="00F90270" w:rsidRDefault="00F90270" w:rsidP="00F90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06002" w:rsidRPr="00EA7F4F" w:rsidRDefault="00E06002" w:rsidP="003330A4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3330A4" w:rsidRPr="003330A4" w:rsidRDefault="003330A4" w:rsidP="003330A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Расходы</w:t>
      </w:r>
      <w:r w:rsidRPr="003330A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бюджета</w:t>
      </w:r>
    </w:p>
    <w:p w:rsidR="00BE2491" w:rsidRPr="009D6B7A" w:rsidRDefault="00BE2491" w:rsidP="001B2F39">
      <w:pPr>
        <w:tabs>
          <w:tab w:val="left" w:pos="720"/>
        </w:tabs>
        <w:jc w:val="both"/>
        <w:rPr>
          <w:b/>
          <w:sz w:val="16"/>
          <w:szCs w:val="16"/>
        </w:rPr>
      </w:pPr>
    </w:p>
    <w:p w:rsidR="00BE2491" w:rsidRDefault="003330A4" w:rsidP="003330A4">
      <w:pPr>
        <w:tabs>
          <w:tab w:val="left" w:pos="720"/>
        </w:tabs>
        <w:ind w:firstLine="709"/>
        <w:jc w:val="both"/>
      </w:pPr>
      <w:r w:rsidRPr="00DD68B2">
        <w:t>Согласно данным проекта решения</w:t>
      </w:r>
      <w:r>
        <w:t xml:space="preserve"> о бюджете Вяземского городского поселения Вяземского района Смоленской области расходы бюджета предлагаются к утверждению:</w:t>
      </w:r>
    </w:p>
    <w:p w:rsidR="003330A4" w:rsidRPr="003330A4" w:rsidRDefault="0031732C" w:rsidP="00EA7F4F">
      <w:pPr>
        <w:pStyle w:val="a8"/>
        <w:numPr>
          <w:ilvl w:val="0"/>
          <w:numId w:val="18"/>
        </w:numPr>
        <w:tabs>
          <w:tab w:val="left" w:pos="567"/>
        </w:tabs>
        <w:ind w:left="426"/>
        <w:jc w:val="both"/>
      </w:pPr>
      <w:r w:rsidRPr="003330A4">
        <w:t xml:space="preserve">на 2023 год в сумме </w:t>
      </w:r>
      <w:bookmarkStart w:id="5" w:name="_Hlk153266986"/>
      <w:r w:rsidR="007473E9">
        <w:rPr>
          <w:b/>
        </w:rPr>
        <w:t>746 081,8</w:t>
      </w:r>
      <w:r w:rsidRPr="003330A4">
        <w:rPr>
          <w:b/>
        </w:rPr>
        <w:t xml:space="preserve"> </w:t>
      </w:r>
      <w:r w:rsidRPr="003330A4">
        <w:t xml:space="preserve">тыс. рублей с увеличением на </w:t>
      </w:r>
      <w:r w:rsidR="007473E9">
        <w:rPr>
          <w:b/>
        </w:rPr>
        <w:t>6 636,1</w:t>
      </w:r>
      <w:r w:rsidR="003330A4" w:rsidRPr="003330A4">
        <w:t xml:space="preserve"> </w:t>
      </w:r>
      <w:bookmarkEnd w:id="5"/>
      <w:proofErr w:type="gramStart"/>
      <w:r w:rsidR="003330A4" w:rsidRPr="003330A4">
        <w:t>тыс.рублей</w:t>
      </w:r>
      <w:proofErr w:type="gramEnd"/>
      <w:r w:rsidR="003330A4" w:rsidRPr="003330A4">
        <w:t xml:space="preserve"> (или на </w:t>
      </w:r>
      <w:r w:rsidR="007473E9">
        <w:rPr>
          <w:b/>
        </w:rPr>
        <w:t>0,9</w:t>
      </w:r>
      <w:r w:rsidR="003330A4" w:rsidRPr="003330A4">
        <w:t>%);</w:t>
      </w:r>
    </w:p>
    <w:p w:rsidR="003330A4" w:rsidRPr="003330A4" w:rsidRDefault="0031732C" w:rsidP="00EA7F4F">
      <w:pPr>
        <w:pStyle w:val="a8"/>
        <w:numPr>
          <w:ilvl w:val="0"/>
          <w:numId w:val="18"/>
        </w:numPr>
        <w:tabs>
          <w:tab w:val="left" w:pos="567"/>
        </w:tabs>
        <w:ind w:left="426"/>
        <w:jc w:val="both"/>
      </w:pPr>
      <w:r w:rsidRPr="003330A4">
        <w:t xml:space="preserve">на 2024 год – </w:t>
      </w:r>
      <w:r w:rsidRPr="003330A4">
        <w:rPr>
          <w:b/>
        </w:rPr>
        <w:t>467 830,6</w:t>
      </w:r>
      <w:r w:rsidRPr="003330A4">
        <w:t xml:space="preserve"> </w:t>
      </w:r>
      <w:proofErr w:type="gramStart"/>
      <w:r w:rsidRPr="003330A4">
        <w:t>тыс.рублей</w:t>
      </w:r>
      <w:proofErr w:type="gramEnd"/>
      <w:r w:rsidR="007473E9">
        <w:t xml:space="preserve"> (без изменений)</w:t>
      </w:r>
      <w:r w:rsidR="003330A4" w:rsidRPr="003330A4">
        <w:t>;</w:t>
      </w:r>
    </w:p>
    <w:p w:rsidR="0031732C" w:rsidRPr="003330A4" w:rsidRDefault="0031732C" w:rsidP="00EA7F4F">
      <w:pPr>
        <w:pStyle w:val="a8"/>
        <w:numPr>
          <w:ilvl w:val="0"/>
          <w:numId w:val="18"/>
        </w:numPr>
        <w:tabs>
          <w:tab w:val="left" w:pos="567"/>
        </w:tabs>
        <w:ind w:left="426"/>
        <w:jc w:val="both"/>
      </w:pPr>
      <w:r w:rsidRPr="003330A4">
        <w:t xml:space="preserve">на 2025 год – </w:t>
      </w:r>
      <w:r w:rsidRPr="003330A4">
        <w:rPr>
          <w:b/>
        </w:rPr>
        <w:t>248 931,6</w:t>
      </w:r>
      <w:r w:rsidR="003330A4" w:rsidRPr="003330A4">
        <w:t xml:space="preserve"> </w:t>
      </w:r>
      <w:proofErr w:type="gramStart"/>
      <w:r w:rsidR="003330A4" w:rsidRPr="003330A4">
        <w:t>тыс.</w:t>
      </w:r>
      <w:r w:rsidRPr="003330A4">
        <w:t>рублей</w:t>
      </w:r>
      <w:proofErr w:type="gramEnd"/>
      <w:r w:rsidRPr="003330A4">
        <w:t xml:space="preserve"> (без изменений).</w:t>
      </w:r>
    </w:p>
    <w:p w:rsidR="003330A4" w:rsidRPr="00156E20" w:rsidRDefault="008F25AC" w:rsidP="00731571">
      <w:pPr>
        <w:pStyle w:val="a3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56E20">
        <w:rPr>
          <w:rFonts w:ascii="Times New Roman" w:hAnsi="Times New Roman" w:cs="Times New Roman"/>
          <w:sz w:val="24"/>
          <w:szCs w:val="24"/>
        </w:rPr>
        <w:t xml:space="preserve">Изменение объема расходов бюджета </w:t>
      </w:r>
      <w:r w:rsidR="00156E20" w:rsidRPr="00156E20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156E20">
        <w:rPr>
          <w:rFonts w:ascii="Times New Roman" w:hAnsi="Times New Roman" w:cs="Times New Roman"/>
          <w:sz w:val="24"/>
          <w:szCs w:val="24"/>
        </w:rPr>
        <w:t xml:space="preserve"> в основном обусловлено </w:t>
      </w:r>
      <w:r w:rsidR="00156E20" w:rsidRPr="00156E20">
        <w:rPr>
          <w:rFonts w:ascii="Times New Roman" w:hAnsi="Times New Roman" w:cs="Times New Roman"/>
          <w:sz w:val="24"/>
          <w:szCs w:val="24"/>
        </w:rPr>
        <w:t xml:space="preserve">такими </w:t>
      </w:r>
      <w:r w:rsidRPr="00156E20">
        <w:rPr>
          <w:rFonts w:ascii="Times New Roman" w:hAnsi="Times New Roman" w:cs="Times New Roman"/>
          <w:sz w:val="24"/>
          <w:szCs w:val="24"/>
        </w:rPr>
        <w:t>факторами</w:t>
      </w:r>
      <w:r w:rsidR="00156E20" w:rsidRPr="00156E20">
        <w:rPr>
          <w:rFonts w:ascii="Times New Roman" w:hAnsi="Times New Roman" w:cs="Times New Roman"/>
          <w:sz w:val="24"/>
          <w:szCs w:val="24"/>
        </w:rPr>
        <w:t>, как</w:t>
      </w:r>
      <w:r w:rsidRPr="00156E20">
        <w:rPr>
          <w:rFonts w:ascii="Times New Roman" w:hAnsi="Times New Roman" w:cs="Times New Roman"/>
          <w:sz w:val="24"/>
          <w:szCs w:val="24"/>
        </w:rPr>
        <w:t xml:space="preserve"> поступление уведомлений по расчетам между бюджетами</w:t>
      </w:r>
      <w:r w:rsidR="00156E20" w:rsidRPr="00156E20">
        <w:rPr>
          <w:rFonts w:ascii="Times New Roman" w:hAnsi="Times New Roman" w:cs="Times New Roman"/>
          <w:sz w:val="24"/>
          <w:szCs w:val="24"/>
        </w:rPr>
        <w:t>, так и</w:t>
      </w:r>
      <w:r w:rsidRPr="00156E20">
        <w:rPr>
          <w:rFonts w:ascii="Times New Roman" w:hAnsi="Times New Roman" w:cs="Times New Roman"/>
          <w:sz w:val="24"/>
          <w:szCs w:val="24"/>
        </w:rPr>
        <w:t xml:space="preserve"> поступление обращений главных распорядителей средств </w:t>
      </w:r>
      <w:r w:rsidR="00156E20" w:rsidRPr="00156E20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156E20">
        <w:rPr>
          <w:rFonts w:ascii="Times New Roman" w:hAnsi="Times New Roman" w:cs="Times New Roman"/>
          <w:sz w:val="24"/>
          <w:szCs w:val="24"/>
        </w:rPr>
        <w:t xml:space="preserve">бюджета по изменению сводной бюджетной росписи </w:t>
      </w:r>
      <w:r w:rsidR="00156E20" w:rsidRPr="00156E20">
        <w:rPr>
          <w:rFonts w:ascii="Times New Roman" w:hAnsi="Times New Roman" w:cs="Times New Roman"/>
          <w:sz w:val="24"/>
          <w:szCs w:val="24"/>
        </w:rPr>
        <w:t>Вяземского городского поселения Вяземского района Смоленской области</w:t>
      </w:r>
      <w:r w:rsidRPr="00156E20">
        <w:rPr>
          <w:rFonts w:ascii="Times New Roman" w:hAnsi="Times New Roman" w:cs="Times New Roman"/>
          <w:sz w:val="24"/>
          <w:szCs w:val="24"/>
        </w:rPr>
        <w:t xml:space="preserve"> в части уточнения </w:t>
      </w:r>
      <w:r w:rsidR="00156E20" w:rsidRPr="00156E20">
        <w:rPr>
          <w:rFonts w:ascii="Times New Roman" w:hAnsi="Times New Roman" w:cs="Times New Roman"/>
          <w:sz w:val="24"/>
          <w:szCs w:val="24"/>
        </w:rPr>
        <w:t xml:space="preserve">бюджетных ассигнований согласно </w:t>
      </w:r>
      <w:r w:rsidRPr="00156E20">
        <w:rPr>
          <w:rFonts w:ascii="Times New Roman" w:hAnsi="Times New Roman" w:cs="Times New Roman"/>
          <w:sz w:val="24"/>
          <w:szCs w:val="24"/>
        </w:rPr>
        <w:t>код</w:t>
      </w:r>
      <w:r w:rsidR="00156E20" w:rsidRPr="00156E20">
        <w:rPr>
          <w:rFonts w:ascii="Times New Roman" w:hAnsi="Times New Roman" w:cs="Times New Roman"/>
          <w:sz w:val="24"/>
          <w:szCs w:val="24"/>
        </w:rPr>
        <w:t>ам</w:t>
      </w:r>
      <w:r w:rsidRPr="00156E20">
        <w:rPr>
          <w:rFonts w:ascii="Times New Roman" w:hAnsi="Times New Roman" w:cs="Times New Roman"/>
          <w:sz w:val="24"/>
          <w:szCs w:val="24"/>
        </w:rPr>
        <w:t xml:space="preserve"> бюджетной классификации</w:t>
      </w:r>
      <w:r w:rsidR="00156E20" w:rsidRPr="00156E20">
        <w:rPr>
          <w:rFonts w:ascii="Times New Roman" w:hAnsi="Times New Roman" w:cs="Times New Roman"/>
          <w:sz w:val="24"/>
          <w:szCs w:val="24"/>
        </w:rPr>
        <w:t>.</w:t>
      </w:r>
    </w:p>
    <w:p w:rsidR="00162CE0" w:rsidRPr="004E7585" w:rsidRDefault="00162CE0" w:rsidP="009D6B7A">
      <w:pPr>
        <w:pStyle w:val="a3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4E7585">
        <w:rPr>
          <w:rFonts w:ascii="Times New Roman" w:hAnsi="Times New Roman" w:cs="Times New Roman"/>
          <w:color w:val="0A0A0A"/>
          <w:sz w:val="24"/>
          <w:szCs w:val="24"/>
        </w:rPr>
        <w:t xml:space="preserve">Решением о бюджете на </w:t>
      </w:r>
      <w:r w:rsidRPr="004E7585">
        <w:rPr>
          <w:rFonts w:ascii="Times New Roman" w:hAnsi="Times New Roman" w:cs="Times New Roman"/>
          <w:b/>
          <w:color w:val="0A0A0A"/>
          <w:sz w:val="24"/>
          <w:szCs w:val="24"/>
        </w:rPr>
        <w:t>2023</w:t>
      </w:r>
      <w:r w:rsidRPr="004E7585">
        <w:rPr>
          <w:rFonts w:ascii="Times New Roman" w:hAnsi="Times New Roman" w:cs="Times New Roman"/>
          <w:color w:val="0A0A0A"/>
          <w:sz w:val="24"/>
          <w:szCs w:val="24"/>
        </w:rPr>
        <w:t xml:space="preserve"> год и плановый период </w:t>
      </w:r>
      <w:r w:rsidRPr="004E7585">
        <w:rPr>
          <w:rFonts w:ascii="Times New Roman" w:hAnsi="Times New Roman" w:cs="Times New Roman"/>
          <w:b/>
          <w:color w:val="0A0A0A"/>
          <w:sz w:val="24"/>
          <w:szCs w:val="24"/>
        </w:rPr>
        <w:t>2024</w:t>
      </w:r>
      <w:r w:rsidRPr="004E7585">
        <w:rPr>
          <w:rFonts w:ascii="Times New Roman" w:hAnsi="Times New Roman" w:cs="Times New Roman"/>
          <w:color w:val="0A0A0A"/>
          <w:sz w:val="24"/>
          <w:szCs w:val="24"/>
        </w:rPr>
        <w:t xml:space="preserve"> и </w:t>
      </w:r>
      <w:r w:rsidRPr="004E7585">
        <w:rPr>
          <w:rFonts w:ascii="Times New Roman" w:hAnsi="Times New Roman" w:cs="Times New Roman"/>
          <w:b/>
          <w:color w:val="0A0A0A"/>
          <w:sz w:val="24"/>
          <w:szCs w:val="24"/>
        </w:rPr>
        <w:t>2025</w:t>
      </w:r>
      <w:r>
        <w:rPr>
          <w:rFonts w:ascii="Times New Roman" w:hAnsi="Times New Roman" w:cs="Times New Roman"/>
          <w:b/>
          <w:color w:val="0A0A0A"/>
          <w:sz w:val="24"/>
          <w:szCs w:val="24"/>
        </w:rPr>
        <w:t xml:space="preserve"> </w:t>
      </w:r>
      <w:r w:rsidRPr="004E7585">
        <w:rPr>
          <w:rFonts w:ascii="Times New Roman" w:hAnsi="Times New Roman" w:cs="Times New Roman"/>
          <w:color w:val="0A0A0A"/>
          <w:sz w:val="24"/>
          <w:szCs w:val="24"/>
        </w:rPr>
        <w:t>годов утверждено финансирование 14 муниципальных программ.</w:t>
      </w:r>
      <w:r>
        <w:rPr>
          <w:rFonts w:ascii="Times New Roman" w:hAnsi="Times New Roman" w:cs="Times New Roman"/>
          <w:color w:val="0A0A0A"/>
          <w:sz w:val="24"/>
          <w:szCs w:val="24"/>
        </w:rPr>
        <w:t xml:space="preserve"> Проектом решения </w:t>
      </w:r>
      <w:r w:rsidRPr="005A0699">
        <w:rPr>
          <w:rFonts w:ascii="Times New Roman" w:hAnsi="Times New Roman" w:cs="Times New Roman"/>
          <w:color w:val="0A0A0A"/>
          <w:sz w:val="24"/>
          <w:szCs w:val="24"/>
        </w:rPr>
        <w:t>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26.12.2022 №84</w:t>
      </w:r>
      <w:r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Pr="005A0699">
        <w:rPr>
          <w:rFonts w:ascii="Times New Roman" w:hAnsi="Times New Roman" w:cs="Times New Roman"/>
          <w:color w:val="0A0A0A"/>
          <w:sz w:val="24"/>
          <w:szCs w:val="24"/>
        </w:rPr>
        <w:t>«О бюджете Вяземского городского поселения Вяземского района Смоленской области на 2023 год и на плановый период 2024 и 2025 годов»</w:t>
      </w:r>
      <w:r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9D6B7A">
        <w:rPr>
          <w:rFonts w:ascii="Times New Roman" w:hAnsi="Times New Roman" w:cs="Times New Roman"/>
          <w:color w:val="0A0A0A"/>
          <w:sz w:val="24"/>
          <w:szCs w:val="24"/>
        </w:rPr>
        <w:t>о</w:t>
      </w:r>
      <w:r w:rsidRPr="004E7585">
        <w:rPr>
          <w:rFonts w:ascii="Times New Roman" w:hAnsi="Times New Roman" w:cs="Times New Roman"/>
          <w:color w:val="0A0A0A"/>
          <w:sz w:val="24"/>
          <w:szCs w:val="24"/>
        </w:rPr>
        <w:t>бщий объем финансирования муниципальных программ планируется утвердить:</w:t>
      </w:r>
    </w:p>
    <w:p w:rsidR="00162CE0" w:rsidRPr="004E7585" w:rsidRDefault="00162CE0" w:rsidP="009D6B7A">
      <w:pPr>
        <w:pStyle w:val="a8"/>
        <w:numPr>
          <w:ilvl w:val="0"/>
          <w:numId w:val="30"/>
        </w:numPr>
        <w:ind w:left="284"/>
        <w:jc w:val="both"/>
      </w:pPr>
      <w:r w:rsidRPr="004E7585">
        <w:rPr>
          <w:color w:val="0A0A0A"/>
        </w:rPr>
        <w:t xml:space="preserve">на </w:t>
      </w:r>
      <w:r w:rsidRPr="004E7585">
        <w:rPr>
          <w:b/>
          <w:color w:val="0A0A0A"/>
        </w:rPr>
        <w:t>2023</w:t>
      </w:r>
      <w:r w:rsidRPr="004E7585">
        <w:rPr>
          <w:color w:val="0A0A0A"/>
        </w:rPr>
        <w:t xml:space="preserve"> год в сумме </w:t>
      </w:r>
      <w:r>
        <w:rPr>
          <w:b/>
          <w:bCs/>
          <w:color w:val="000000"/>
        </w:rPr>
        <w:t>737 050,2</w:t>
      </w:r>
      <w:r w:rsidRPr="004E7585">
        <w:rPr>
          <w:b/>
          <w:bCs/>
          <w:color w:val="000000"/>
        </w:rPr>
        <w:t xml:space="preserve"> </w:t>
      </w:r>
      <w:proofErr w:type="gramStart"/>
      <w:r w:rsidRPr="004E7585">
        <w:rPr>
          <w:color w:val="0A0A0A"/>
        </w:rPr>
        <w:t>тыс.рублей</w:t>
      </w:r>
      <w:proofErr w:type="gramEnd"/>
      <w:r w:rsidRPr="004E7585">
        <w:rPr>
          <w:color w:val="0A0A0A"/>
        </w:rPr>
        <w:t xml:space="preserve"> с </w:t>
      </w:r>
      <w:r w:rsidRPr="004E7585">
        <w:rPr>
          <w:i/>
          <w:color w:val="0A0A0A"/>
        </w:rPr>
        <w:t>увеличением</w:t>
      </w:r>
      <w:r w:rsidRPr="004E7585">
        <w:rPr>
          <w:color w:val="0A0A0A"/>
        </w:rPr>
        <w:t xml:space="preserve"> на </w:t>
      </w:r>
      <w:r>
        <w:rPr>
          <w:color w:val="0A0A0A"/>
        </w:rPr>
        <w:t>7 8567,2</w:t>
      </w:r>
      <w:r w:rsidRPr="004E7585">
        <w:rPr>
          <w:color w:val="0A0A0A"/>
        </w:rPr>
        <w:t xml:space="preserve"> тыс.рублей </w:t>
      </w:r>
      <w:r w:rsidR="009D6B7A">
        <w:rPr>
          <w:color w:val="0A0A0A"/>
        </w:rPr>
        <w:t>(</w:t>
      </w:r>
      <w:r w:rsidRPr="004E7585">
        <w:rPr>
          <w:color w:val="0A0A0A"/>
        </w:rPr>
        <w:t xml:space="preserve">на </w:t>
      </w:r>
      <w:r>
        <w:rPr>
          <w:color w:val="0A0A0A"/>
        </w:rPr>
        <w:t>1,1</w:t>
      </w:r>
      <w:r w:rsidRPr="004E7585">
        <w:rPr>
          <w:color w:val="0A0A0A"/>
        </w:rPr>
        <w:t>%</w:t>
      </w:r>
      <w:r w:rsidR="009D6B7A">
        <w:rPr>
          <w:color w:val="0A0A0A"/>
        </w:rPr>
        <w:t>)</w:t>
      </w:r>
      <w:r w:rsidRPr="004E7585">
        <w:t>;</w:t>
      </w:r>
    </w:p>
    <w:p w:rsidR="00162CE0" w:rsidRPr="004E7585" w:rsidRDefault="00162CE0" w:rsidP="009D6B7A">
      <w:pPr>
        <w:pStyle w:val="a8"/>
        <w:numPr>
          <w:ilvl w:val="0"/>
          <w:numId w:val="30"/>
        </w:numPr>
        <w:ind w:left="284"/>
        <w:jc w:val="both"/>
      </w:pPr>
      <w:r w:rsidRPr="004E7585">
        <w:rPr>
          <w:color w:val="0A0A0A"/>
        </w:rPr>
        <w:t xml:space="preserve">на </w:t>
      </w:r>
      <w:r w:rsidRPr="004E7585">
        <w:rPr>
          <w:b/>
          <w:color w:val="0A0A0A"/>
        </w:rPr>
        <w:t>2024</w:t>
      </w:r>
      <w:r w:rsidRPr="004E7585">
        <w:rPr>
          <w:color w:val="0A0A0A"/>
        </w:rPr>
        <w:t xml:space="preserve"> год в сумме </w:t>
      </w:r>
      <w:r>
        <w:rPr>
          <w:b/>
          <w:bCs/>
          <w:color w:val="000000"/>
        </w:rPr>
        <w:t>458</w:t>
      </w:r>
      <w:r w:rsidR="001D56B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075,2 </w:t>
      </w:r>
      <w:r w:rsidRPr="004E7585">
        <w:rPr>
          <w:color w:val="0A0A0A"/>
        </w:rPr>
        <w:t xml:space="preserve">тыс. рублей </w:t>
      </w:r>
      <w:r>
        <w:rPr>
          <w:color w:val="0A0A0A"/>
        </w:rPr>
        <w:t>(без изменения)</w:t>
      </w:r>
      <w:r w:rsidR="001D56B4">
        <w:rPr>
          <w:color w:val="0A0A0A"/>
        </w:rPr>
        <w:t>;</w:t>
      </w:r>
    </w:p>
    <w:p w:rsidR="00C13C01" w:rsidRPr="00162CE0" w:rsidRDefault="00162CE0" w:rsidP="009D6B7A">
      <w:pPr>
        <w:pStyle w:val="a8"/>
        <w:numPr>
          <w:ilvl w:val="0"/>
          <w:numId w:val="30"/>
        </w:numPr>
        <w:ind w:left="284" w:hanging="426"/>
        <w:jc w:val="both"/>
      </w:pPr>
      <w:r w:rsidRPr="00162CE0">
        <w:rPr>
          <w:color w:val="0A0A0A"/>
        </w:rPr>
        <w:t xml:space="preserve">на </w:t>
      </w:r>
      <w:r w:rsidRPr="00162CE0">
        <w:rPr>
          <w:b/>
          <w:color w:val="0A0A0A"/>
        </w:rPr>
        <w:t>2025</w:t>
      </w:r>
      <w:r w:rsidRPr="00162CE0">
        <w:rPr>
          <w:color w:val="0A0A0A"/>
        </w:rPr>
        <w:t xml:space="preserve"> год в сумме </w:t>
      </w:r>
      <w:r w:rsidRPr="00162CE0">
        <w:rPr>
          <w:b/>
          <w:bCs/>
          <w:color w:val="000000"/>
        </w:rPr>
        <w:t>233 276,5</w:t>
      </w:r>
      <w:r w:rsidR="001D56B4">
        <w:rPr>
          <w:b/>
          <w:bCs/>
          <w:color w:val="000000"/>
        </w:rPr>
        <w:t xml:space="preserve"> </w:t>
      </w:r>
      <w:r w:rsidRPr="00162CE0">
        <w:rPr>
          <w:color w:val="0A0A0A"/>
        </w:rPr>
        <w:t xml:space="preserve">тыс. рублей </w:t>
      </w:r>
      <w:r w:rsidR="001D56B4" w:rsidRPr="001D56B4">
        <w:rPr>
          <w:color w:val="0A0A0A"/>
        </w:rPr>
        <w:t>(без изменения)</w:t>
      </w:r>
      <w:r w:rsidRPr="004E7585">
        <w:t>.</w:t>
      </w:r>
    </w:p>
    <w:p w:rsidR="005D38EF" w:rsidRDefault="005D38EF" w:rsidP="005D38EF">
      <w:pPr>
        <w:jc w:val="center"/>
        <w:rPr>
          <w:b/>
          <w:sz w:val="23"/>
          <w:szCs w:val="23"/>
        </w:rPr>
      </w:pPr>
    </w:p>
    <w:p w:rsidR="009D6B7A" w:rsidRPr="00F63958" w:rsidRDefault="009D6B7A" w:rsidP="009D6B7A">
      <w:pPr>
        <w:jc w:val="both"/>
      </w:pPr>
      <w:r w:rsidRPr="00F63958">
        <w:rPr>
          <w:b/>
          <w:i/>
          <w:u w:val="single"/>
        </w:rPr>
        <w:t>Непрограммные расходы</w:t>
      </w:r>
      <w:r w:rsidRPr="00C51BC8">
        <w:rPr>
          <w:b/>
          <w:i/>
        </w:rPr>
        <w:t xml:space="preserve"> </w:t>
      </w:r>
      <w:r w:rsidRPr="00F63958">
        <w:t>предлагаются к утверждению:</w:t>
      </w:r>
    </w:p>
    <w:p w:rsidR="009D6B7A" w:rsidRPr="00F63958" w:rsidRDefault="009D6B7A" w:rsidP="009D6B7A">
      <w:pPr>
        <w:pStyle w:val="a8"/>
        <w:numPr>
          <w:ilvl w:val="0"/>
          <w:numId w:val="34"/>
        </w:numPr>
        <w:ind w:left="426"/>
        <w:jc w:val="both"/>
      </w:pPr>
      <w:r w:rsidRPr="00F63958">
        <w:t xml:space="preserve">на 2023 год в сумме </w:t>
      </w:r>
      <w:r w:rsidRPr="00FE6BC1">
        <w:rPr>
          <w:b/>
        </w:rPr>
        <w:t>9 031,6</w:t>
      </w:r>
      <w:r w:rsidRPr="00F63958">
        <w:t xml:space="preserve"> </w:t>
      </w:r>
      <w:proofErr w:type="gramStart"/>
      <w:r w:rsidRPr="00F63958">
        <w:t>тыс.рублей</w:t>
      </w:r>
      <w:proofErr w:type="gramEnd"/>
      <w:r w:rsidRPr="00F63958">
        <w:t xml:space="preserve"> с </w:t>
      </w:r>
      <w:r>
        <w:t>уменьшением</w:t>
      </w:r>
      <w:r w:rsidRPr="00F63958">
        <w:t xml:space="preserve"> на </w:t>
      </w:r>
      <w:r w:rsidRPr="00FE6BC1">
        <w:rPr>
          <w:b/>
        </w:rPr>
        <w:t>1 156,1</w:t>
      </w:r>
      <w:r w:rsidRPr="00F63958">
        <w:t xml:space="preserve"> тыс.рублей;</w:t>
      </w:r>
    </w:p>
    <w:p w:rsidR="009D6B7A" w:rsidRPr="00F63958" w:rsidRDefault="009D6B7A" w:rsidP="009D6B7A">
      <w:pPr>
        <w:pStyle w:val="a8"/>
        <w:numPr>
          <w:ilvl w:val="0"/>
          <w:numId w:val="34"/>
        </w:numPr>
        <w:ind w:left="426"/>
        <w:jc w:val="both"/>
      </w:pPr>
      <w:r w:rsidRPr="00F63958">
        <w:t xml:space="preserve">на 2024 год в сумме </w:t>
      </w:r>
      <w:r w:rsidRPr="00F63958">
        <w:rPr>
          <w:b/>
        </w:rPr>
        <w:t>4 155,4</w:t>
      </w:r>
      <w:r w:rsidRPr="00F63958">
        <w:t xml:space="preserve"> тыс. рублей (без изменений), </w:t>
      </w:r>
    </w:p>
    <w:p w:rsidR="009D6B7A" w:rsidRPr="00F63958" w:rsidRDefault="009D6B7A" w:rsidP="009D6B7A">
      <w:pPr>
        <w:pStyle w:val="a8"/>
        <w:numPr>
          <w:ilvl w:val="0"/>
          <w:numId w:val="34"/>
        </w:numPr>
        <w:ind w:left="426"/>
        <w:jc w:val="both"/>
      </w:pPr>
      <w:r w:rsidRPr="00F63958">
        <w:t xml:space="preserve">на 2025 год в сумме </w:t>
      </w:r>
      <w:r w:rsidRPr="00F63958">
        <w:rPr>
          <w:b/>
        </w:rPr>
        <w:t>4 155,1</w:t>
      </w:r>
      <w:r w:rsidRPr="00F63958">
        <w:t xml:space="preserve"> тыс. рублей (без изменений).</w:t>
      </w:r>
    </w:p>
    <w:p w:rsidR="009D6B7A" w:rsidRDefault="009D6B7A" w:rsidP="009D6B7A">
      <w:pPr>
        <w:rPr>
          <w:b/>
          <w:sz w:val="23"/>
          <w:szCs w:val="23"/>
        </w:rPr>
        <w:sectPr w:rsidR="009D6B7A" w:rsidSect="00E728CA">
          <w:footerReference w:type="default" r:id="rId8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5D38EF" w:rsidRPr="00731571" w:rsidRDefault="00731571" w:rsidP="005D38EF">
      <w:pPr>
        <w:jc w:val="center"/>
        <w:rPr>
          <w:b/>
          <w:i/>
        </w:rPr>
      </w:pPr>
      <w:r w:rsidRPr="00731571">
        <w:rPr>
          <w:b/>
          <w:i/>
        </w:rPr>
        <w:lastRenderedPageBreak/>
        <w:t>Р</w:t>
      </w:r>
      <w:r w:rsidR="005D38EF" w:rsidRPr="00731571">
        <w:rPr>
          <w:b/>
          <w:i/>
        </w:rPr>
        <w:t>аспределение бюджетных ассигнований по разделам, подразделам классификации расходов</w:t>
      </w:r>
    </w:p>
    <w:p w:rsidR="005D38EF" w:rsidRPr="00731571" w:rsidRDefault="005D38EF" w:rsidP="005D38EF">
      <w:pPr>
        <w:jc w:val="center"/>
        <w:rPr>
          <w:b/>
          <w:i/>
        </w:rPr>
      </w:pPr>
      <w:r w:rsidRPr="00731571">
        <w:rPr>
          <w:b/>
          <w:i/>
        </w:rPr>
        <w:t xml:space="preserve">Вяземского городского поселения Вяземского района Смоленской области на 2023 год и </w:t>
      </w:r>
      <w:r w:rsidR="0039771A">
        <w:rPr>
          <w:b/>
          <w:i/>
        </w:rPr>
        <w:t xml:space="preserve">на </w:t>
      </w:r>
      <w:r w:rsidRPr="00731571">
        <w:rPr>
          <w:b/>
          <w:i/>
        </w:rPr>
        <w:t>плановый период 2024 и 2025 годов</w:t>
      </w:r>
    </w:p>
    <w:p w:rsidR="009D6B7A" w:rsidRDefault="009D6B7A" w:rsidP="005D38EF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13C01" w:rsidRPr="005D38EF" w:rsidRDefault="00C13C01" w:rsidP="005D38EF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38EF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5D38EF">
        <w:rPr>
          <w:rFonts w:ascii="Times New Roman" w:hAnsi="Times New Roman" w:cs="Times New Roman"/>
          <w:i/>
          <w:sz w:val="20"/>
          <w:szCs w:val="20"/>
        </w:rPr>
        <w:t>тыс.рублей</w:t>
      </w:r>
      <w:proofErr w:type="gramEnd"/>
      <w:r w:rsidRPr="005D38EF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W w:w="15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59"/>
        <w:gridCol w:w="459"/>
        <w:gridCol w:w="1067"/>
        <w:gridCol w:w="977"/>
        <w:gridCol w:w="1007"/>
        <w:gridCol w:w="937"/>
        <w:gridCol w:w="953"/>
        <w:gridCol w:w="1047"/>
        <w:gridCol w:w="778"/>
        <w:gridCol w:w="946"/>
        <w:gridCol w:w="33"/>
        <w:gridCol w:w="920"/>
        <w:gridCol w:w="977"/>
        <w:gridCol w:w="668"/>
        <w:gridCol w:w="960"/>
        <w:gridCol w:w="42"/>
      </w:tblGrid>
      <w:tr w:rsidR="00C13C01" w:rsidRPr="005D38EF" w:rsidTr="00A40138">
        <w:trPr>
          <w:trHeight w:val="255"/>
        </w:trPr>
        <w:tc>
          <w:tcPr>
            <w:tcW w:w="3544" w:type="dxa"/>
            <w:vMerge w:val="restart"/>
            <w:shd w:val="clear" w:color="000000" w:fill="EEECE1"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59" w:type="dxa"/>
            <w:vMerge w:val="restart"/>
            <w:shd w:val="clear" w:color="000000" w:fill="EEECE1"/>
            <w:textDirection w:val="btLr"/>
            <w:vAlign w:val="center"/>
            <w:hideMark/>
          </w:tcPr>
          <w:p w:rsidR="00C13C01" w:rsidRPr="005D38EF" w:rsidRDefault="00C13C01" w:rsidP="005D38EF">
            <w:pPr>
              <w:ind w:left="-108"/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59" w:type="dxa"/>
            <w:vMerge w:val="restart"/>
            <w:shd w:val="clear" w:color="000000" w:fill="EEECE1"/>
            <w:textDirection w:val="btLr"/>
            <w:vAlign w:val="center"/>
            <w:hideMark/>
          </w:tcPr>
          <w:p w:rsidR="00C13C01" w:rsidRPr="005D38EF" w:rsidRDefault="00C13C01" w:rsidP="005D38EF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3988" w:type="dxa"/>
            <w:gridSpan w:val="4"/>
            <w:shd w:val="clear" w:color="000000" w:fill="EEECE1"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3757" w:type="dxa"/>
            <w:gridSpan w:val="5"/>
            <w:shd w:val="clear" w:color="000000" w:fill="EEECE1"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3567" w:type="dxa"/>
            <w:gridSpan w:val="5"/>
            <w:shd w:val="clear" w:color="000000" w:fill="EEECE1"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2025</w:t>
            </w:r>
          </w:p>
        </w:tc>
      </w:tr>
      <w:tr w:rsidR="00C13C01" w:rsidRPr="005D38EF" w:rsidTr="00A40138">
        <w:trPr>
          <w:gridAfter w:val="1"/>
          <w:wAfter w:w="42" w:type="dxa"/>
          <w:trHeight w:val="538"/>
        </w:trPr>
        <w:tc>
          <w:tcPr>
            <w:tcW w:w="3544" w:type="dxa"/>
            <w:vMerge/>
            <w:vAlign w:val="center"/>
            <w:hideMark/>
          </w:tcPr>
          <w:p w:rsidR="00C13C01" w:rsidRPr="005D38EF" w:rsidRDefault="00C13C01" w:rsidP="00C13C0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C13C01" w:rsidRPr="005D38EF" w:rsidRDefault="00C13C01" w:rsidP="00C13C0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C13C01" w:rsidRPr="005D38EF" w:rsidRDefault="00C13C01" w:rsidP="00C13C0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>решение о бюджете</w:t>
            </w:r>
          </w:p>
        </w:tc>
        <w:tc>
          <w:tcPr>
            <w:tcW w:w="977" w:type="dxa"/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>ПРОЕКТ</w:t>
            </w:r>
          </w:p>
        </w:tc>
        <w:tc>
          <w:tcPr>
            <w:tcW w:w="1007" w:type="dxa"/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>откл.                   (+, -)</w:t>
            </w:r>
          </w:p>
        </w:tc>
        <w:tc>
          <w:tcPr>
            <w:tcW w:w="937" w:type="dxa"/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 xml:space="preserve">откл.                               </w:t>
            </w:r>
          </w:p>
        </w:tc>
        <w:tc>
          <w:tcPr>
            <w:tcW w:w="953" w:type="dxa"/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>решение о бюджете</w:t>
            </w:r>
          </w:p>
        </w:tc>
        <w:tc>
          <w:tcPr>
            <w:tcW w:w="1047" w:type="dxa"/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>ПРОЕКТ</w:t>
            </w:r>
          </w:p>
        </w:tc>
        <w:tc>
          <w:tcPr>
            <w:tcW w:w="778" w:type="dxa"/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>откл.                   (+, -)</w:t>
            </w:r>
          </w:p>
        </w:tc>
        <w:tc>
          <w:tcPr>
            <w:tcW w:w="946" w:type="dxa"/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 xml:space="preserve">откл.                               </w:t>
            </w:r>
          </w:p>
        </w:tc>
        <w:tc>
          <w:tcPr>
            <w:tcW w:w="953" w:type="dxa"/>
            <w:gridSpan w:val="2"/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>решение о бюджете</w:t>
            </w:r>
          </w:p>
        </w:tc>
        <w:tc>
          <w:tcPr>
            <w:tcW w:w="977" w:type="dxa"/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>ПРОЕКТ</w:t>
            </w:r>
          </w:p>
        </w:tc>
        <w:tc>
          <w:tcPr>
            <w:tcW w:w="668" w:type="dxa"/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>откл.                   (+, -)</w:t>
            </w:r>
          </w:p>
        </w:tc>
        <w:tc>
          <w:tcPr>
            <w:tcW w:w="960" w:type="dxa"/>
            <w:shd w:val="clear" w:color="000000" w:fill="EEECE1"/>
            <w:vAlign w:val="center"/>
            <w:hideMark/>
          </w:tcPr>
          <w:p w:rsidR="00C13C01" w:rsidRPr="005D38EF" w:rsidRDefault="00C13C01" w:rsidP="001F47DD">
            <w:pPr>
              <w:ind w:left="-38" w:right="-109"/>
              <w:jc w:val="center"/>
              <w:rPr>
                <w:b/>
                <w:bCs/>
                <w:sz w:val="17"/>
                <w:szCs w:val="17"/>
              </w:rPr>
            </w:pPr>
            <w:r w:rsidRPr="005D38EF">
              <w:rPr>
                <w:b/>
                <w:bCs/>
                <w:sz w:val="17"/>
                <w:szCs w:val="17"/>
              </w:rPr>
              <w:t xml:space="preserve">откл.                               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000000" w:fill="DDD9C3"/>
            <w:vAlign w:val="center"/>
            <w:hideMark/>
          </w:tcPr>
          <w:p w:rsidR="00A40138" w:rsidRPr="005D38EF" w:rsidRDefault="00A40138" w:rsidP="00A40138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18 035,0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17 367,5</w:t>
            </w:r>
          </w:p>
        </w:tc>
        <w:tc>
          <w:tcPr>
            <w:tcW w:w="100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-667,5</w:t>
            </w:r>
          </w:p>
        </w:tc>
        <w:tc>
          <w:tcPr>
            <w:tcW w:w="93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96,3%</w:t>
            </w:r>
          </w:p>
        </w:tc>
        <w:tc>
          <w:tcPr>
            <w:tcW w:w="953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16 221,2</w:t>
            </w:r>
          </w:p>
        </w:tc>
        <w:tc>
          <w:tcPr>
            <w:tcW w:w="104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16 221,2</w:t>
            </w:r>
          </w:p>
        </w:tc>
        <w:tc>
          <w:tcPr>
            <w:tcW w:w="77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16 683,8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16 683,8</w:t>
            </w:r>
          </w:p>
        </w:tc>
        <w:tc>
          <w:tcPr>
            <w:tcW w:w="66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000000" w:fill="DDD9C4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330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723,2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723,2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723,2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723,2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723,2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723,2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330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функционирование представительных органов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2 726,2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2 630,7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-95,5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96,5%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2 897,0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2 897,0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2 897,0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2 897,0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350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обеспечение деятельности органов финансового (финансово-бюджетного) надзора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30,9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32,5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1,6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105,2%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30,9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30,9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30,9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30,9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70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1 317,1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-1 217,1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7,6%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0,0%</w:t>
            </w:r>
          </w:p>
        </w:tc>
      </w:tr>
      <w:tr w:rsidR="00A40138" w:rsidRPr="005D38EF" w:rsidTr="00A40138">
        <w:trPr>
          <w:gridAfter w:val="1"/>
          <w:wAfter w:w="42" w:type="dxa"/>
          <w:trHeight w:val="70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13 237,6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13 881,1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643,5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104,9%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12 570,1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12 570,1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13 032,7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13 032,7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480"/>
        </w:trPr>
        <w:tc>
          <w:tcPr>
            <w:tcW w:w="3544" w:type="dxa"/>
            <w:shd w:val="clear" w:color="000000" w:fill="DDD9C3"/>
            <w:vAlign w:val="center"/>
            <w:hideMark/>
          </w:tcPr>
          <w:p w:rsidR="00A40138" w:rsidRPr="005D38EF" w:rsidRDefault="00A40138" w:rsidP="00A40138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13 345,0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14 978,1</w:t>
            </w:r>
          </w:p>
        </w:tc>
        <w:tc>
          <w:tcPr>
            <w:tcW w:w="100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1 633,1</w:t>
            </w:r>
          </w:p>
        </w:tc>
        <w:tc>
          <w:tcPr>
            <w:tcW w:w="93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112,2%</w:t>
            </w:r>
          </w:p>
        </w:tc>
        <w:tc>
          <w:tcPr>
            <w:tcW w:w="953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12 823,6</w:t>
            </w:r>
          </w:p>
        </w:tc>
        <w:tc>
          <w:tcPr>
            <w:tcW w:w="104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12 823,6</w:t>
            </w:r>
          </w:p>
        </w:tc>
        <w:tc>
          <w:tcPr>
            <w:tcW w:w="77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12 823,6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12 823,6</w:t>
            </w:r>
          </w:p>
        </w:tc>
        <w:tc>
          <w:tcPr>
            <w:tcW w:w="66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000000" w:fill="DDD9C4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70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12 823,6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14 456,7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1 633,1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112,7%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12 823,6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12 823,6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12 823,6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12 823,6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70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521,4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521,4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0,0%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000000" w:fill="DDD9C3"/>
            <w:vAlign w:val="center"/>
            <w:hideMark/>
          </w:tcPr>
          <w:p w:rsidR="00A40138" w:rsidRPr="005D38EF" w:rsidRDefault="00A40138" w:rsidP="00A40138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208 500,1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194 092,4</w:t>
            </w:r>
          </w:p>
        </w:tc>
        <w:tc>
          <w:tcPr>
            <w:tcW w:w="100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-14 407,7</w:t>
            </w:r>
          </w:p>
        </w:tc>
        <w:tc>
          <w:tcPr>
            <w:tcW w:w="93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93,1%</w:t>
            </w:r>
          </w:p>
        </w:tc>
        <w:tc>
          <w:tcPr>
            <w:tcW w:w="953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69 244,3</w:t>
            </w:r>
          </w:p>
        </w:tc>
        <w:tc>
          <w:tcPr>
            <w:tcW w:w="104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69 244,3</w:t>
            </w:r>
          </w:p>
        </w:tc>
        <w:tc>
          <w:tcPr>
            <w:tcW w:w="77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70 657,3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70 657,3</w:t>
            </w:r>
          </w:p>
        </w:tc>
        <w:tc>
          <w:tcPr>
            <w:tcW w:w="66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000000" w:fill="DDD9C4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транспорт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60,0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50,7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-9,3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84,5%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62,0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65,0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65,0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206 851,7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192 986,3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-13 865,4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93,3%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68 062,3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68 062,3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69 472,3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69 472,3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70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 xml:space="preserve">другие вопросы в области </w:t>
            </w:r>
            <w:proofErr w:type="spellStart"/>
            <w:proofErr w:type="gramStart"/>
            <w:r w:rsidRPr="005D38EF">
              <w:rPr>
                <w:i/>
                <w:iCs/>
                <w:sz w:val="18"/>
                <w:szCs w:val="18"/>
              </w:rPr>
              <w:t>нац</w:t>
            </w:r>
            <w:r>
              <w:rPr>
                <w:i/>
                <w:iCs/>
                <w:sz w:val="18"/>
                <w:szCs w:val="18"/>
              </w:rPr>
              <w:t>.</w:t>
            </w:r>
            <w:r w:rsidRPr="005D38EF">
              <w:rPr>
                <w:i/>
                <w:iCs/>
                <w:sz w:val="18"/>
                <w:szCs w:val="18"/>
              </w:rPr>
              <w:t>экономики</w:t>
            </w:r>
            <w:proofErr w:type="spellEnd"/>
            <w:proofErr w:type="gramEnd"/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1 588,4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1 055,4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-533,0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66,4%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1 120,0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1 120,0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1 120,0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1 120,0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000000" w:fill="DDD9C3"/>
            <w:vAlign w:val="center"/>
            <w:hideMark/>
          </w:tcPr>
          <w:p w:rsidR="00A40138" w:rsidRPr="005D38EF" w:rsidRDefault="00A40138" w:rsidP="00A40138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458 260,4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477 370,6</w:t>
            </w:r>
          </w:p>
        </w:tc>
        <w:tc>
          <w:tcPr>
            <w:tcW w:w="100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19 110,2</w:t>
            </w:r>
          </w:p>
        </w:tc>
        <w:tc>
          <w:tcPr>
            <w:tcW w:w="93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104,2%</w:t>
            </w:r>
          </w:p>
        </w:tc>
        <w:tc>
          <w:tcPr>
            <w:tcW w:w="953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326 171,3</w:t>
            </w:r>
          </w:p>
        </w:tc>
        <w:tc>
          <w:tcPr>
            <w:tcW w:w="104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326 171,3</w:t>
            </w:r>
          </w:p>
        </w:tc>
        <w:tc>
          <w:tcPr>
            <w:tcW w:w="77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99 397,0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99 397,0</w:t>
            </w:r>
          </w:p>
        </w:tc>
        <w:tc>
          <w:tcPr>
            <w:tcW w:w="66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000000" w:fill="DDD9C4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295 685,0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304 523,9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8 838,9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103,0%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18 059,0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18 059,0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21 782,0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21 782,0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67 466,5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81 571,1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14 104,6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120,9%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218 271,0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218 271,0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16 860,0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16 860,0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95 108,9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91 275,6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-3 833,3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96,0%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89 841,3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89 841,3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60 755,0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60 755,0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000000" w:fill="DDD9C3"/>
            <w:vAlign w:val="center"/>
            <w:hideMark/>
          </w:tcPr>
          <w:p w:rsidR="00A40138" w:rsidRPr="005D38EF" w:rsidRDefault="00A40138" w:rsidP="00A40138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 xml:space="preserve">Образование 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519,6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519,6</w:t>
            </w:r>
          </w:p>
        </w:tc>
        <w:tc>
          <w:tcPr>
            <w:tcW w:w="100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3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104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77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66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000000" w:fill="DDD9C4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молодежная политика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519,6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519,6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350,0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350,0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350,0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000000" w:fill="DDD9C3"/>
            <w:vAlign w:val="center"/>
            <w:hideMark/>
          </w:tcPr>
          <w:p w:rsidR="00A40138" w:rsidRPr="005D38EF" w:rsidRDefault="00A40138" w:rsidP="00A40138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2 835,0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2 947,8</w:t>
            </w:r>
          </w:p>
        </w:tc>
        <w:tc>
          <w:tcPr>
            <w:tcW w:w="100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112,8</w:t>
            </w:r>
          </w:p>
        </w:tc>
        <w:tc>
          <w:tcPr>
            <w:tcW w:w="93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104,0%</w:t>
            </w:r>
          </w:p>
        </w:tc>
        <w:tc>
          <w:tcPr>
            <w:tcW w:w="953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2 470,0</w:t>
            </w:r>
          </w:p>
        </w:tc>
        <w:tc>
          <w:tcPr>
            <w:tcW w:w="104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2 470,0</w:t>
            </w:r>
          </w:p>
        </w:tc>
        <w:tc>
          <w:tcPr>
            <w:tcW w:w="77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2 470,0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2 470,0</w:t>
            </w:r>
          </w:p>
        </w:tc>
        <w:tc>
          <w:tcPr>
            <w:tcW w:w="66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000000" w:fill="DDD9C4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2 835,0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2 947,8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112,8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104,0%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2 470,0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2 470,0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2 470,0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2 470,0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000000" w:fill="DDD9C3"/>
            <w:vAlign w:val="center"/>
            <w:hideMark/>
          </w:tcPr>
          <w:p w:rsidR="00A40138" w:rsidRPr="005D38EF" w:rsidRDefault="00A40138" w:rsidP="00A40138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lastRenderedPageBreak/>
              <w:t xml:space="preserve">Социальная политика 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2 015,5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2 025,7</w:t>
            </w:r>
          </w:p>
        </w:tc>
        <w:tc>
          <w:tcPr>
            <w:tcW w:w="100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10,2</w:t>
            </w:r>
          </w:p>
        </w:tc>
        <w:tc>
          <w:tcPr>
            <w:tcW w:w="93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100,5%</w:t>
            </w:r>
          </w:p>
        </w:tc>
        <w:tc>
          <w:tcPr>
            <w:tcW w:w="953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415,5</w:t>
            </w:r>
          </w:p>
        </w:tc>
        <w:tc>
          <w:tcPr>
            <w:tcW w:w="104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415,5</w:t>
            </w:r>
          </w:p>
        </w:tc>
        <w:tc>
          <w:tcPr>
            <w:tcW w:w="77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415,5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415,5</w:t>
            </w:r>
          </w:p>
        </w:tc>
        <w:tc>
          <w:tcPr>
            <w:tcW w:w="66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000000" w:fill="DDD9C4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415,5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425,7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10,2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102,5%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415,5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415,5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415,5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415,5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1 600,0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1 600,0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0,0%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000000" w:fill="DDD9C3"/>
            <w:vAlign w:val="center"/>
            <w:hideMark/>
          </w:tcPr>
          <w:p w:rsidR="00A40138" w:rsidRPr="005D38EF" w:rsidRDefault="00A40138" w:rsidP="00A40138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22 897,5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23 742,5</w:t>
            </w:r>
          </w:p>
        </w:tc>
        <w:tc>
          <w:tcPr>
            <w:tcW w:w="100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845,0</w:t>
            </w:r>
          </w:p>
        </w:tc>
        <w:tc>
          <w:tcPr>
            <w:tcW w:w="93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103,7%</w:t>
            </w:r>
          </w:p>
        </w:tc>
        <w:tc>
          <w:tcPr>
            <w:tcW w:w="953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21 697,1</w:t>
            </w:r>
          </w:p>
        </w:tc>
        <w:tc>
          <w:tcPr>
            <w:tcW w:w="104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21 697,1</w:t>
            </w:r>
          </w:p>
        </w:tc>
        <w:tc>
          <w:tcPr>
            <w:tcW w:w="77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21 697,1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21 697,1</w:t>
            </w:r>
          </w:p>
        </w:tc>
        <w:tc>
          <w:tcPr>
            <w:tcW w:w="66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000000" w:fill="DDD9C4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физическая культура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22 897,5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23 742,5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845,0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103,7%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21 697,1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21 697,1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21 697,1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21 697,1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000000" w:fill="DDD9C3"/>
            <w:vAlign w:val="center"/>
            <w:hideMark/>
          </w:tcPr>
          <w:p w:rsidR="00A40138" w:rsidRPr="005D38EF" w:rsidRDefault="00A40138" w:rsidP="00A40138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12 996,8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12 996,8</w:t>
            </w:r>
          </w:p>
        </w:tc>
        <w:tc>
          <w:tcPr>
            <w:tcW w:w="100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3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12 896,8</w:t>
            </w:r>
          </w:p>
        </w:tc>
        <w:tc>
          <w:tcPr>
            <w:tcW w:w="104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12 896,8</w:t>
            </w:r>
          </w:p>
        </w:tc>
        <w:tc>
          <w:tcPr>
            <w:tcW w:w="77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12 896,8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12 896,8</w:t>
            </w:r>
          </w:p>
        </w:tc>
        <w:tc>
          <w:tcPr>
            <w:tcW w:w="66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000000" w:fill="DDD9C4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:rsidR="00A40138" w:rsidRPr="005D38EF" w:rsidRDefault="00A40138" w:rsidP="00A40138">
            <w:pPr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12 996,8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12 996,8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12 896,8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12 896,8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12 896,8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12 896,8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70"/>
        </w:trPr>
        <w:tc>
          <w:tcPr>
            <w:tcW w:w="3544" w:type="dxa"/>
            <w:shd w:val="clear" w:color="000000" w:fill="DDD9C3"/>
            <w:vAlign w:val="center"/>
            <w:hideMark/>
          </w:tcPr>
          <w:p w:rsidR="00A40138" w:rsidRPr="005D38EF" w:rsidRDefault="00A40138" w:rsidP="00A40138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000000" w:fill="DDD9C3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00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3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04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77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40,5</w:t>
            </w:r>
          </w:p>
        </w:tc>
        <w:tc>
          <w:tcPr>
            <w:tcW w:w="977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40,5</w:t>
            </w:r>
          </w:p>
        </w:tc>
        <w:tc>
          <w:tcPr>
            <w:tcW w:w="668" w:type="dxa"/>
            <w:shd w:val="clear" w:color="000000" w:fill="DDD9C4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000000" w:fill="DDD9C4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C13C01" w:rsidRPr="005D38EF" w:rsidTr="00A40138">
        <w:trPr>
          <w:gridAfter w:val="1"/>
          <w:wAfter w:w="42" w:type="dxa"/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ind w:firstLineChars="200" w:firstLine="360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center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5 500,0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5 500,0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11 500,0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11 500,0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13C01" w:rsidRPr="005D38EF" w:rsidRDefault="00C13C01" w:rsidP="00C13C01">
            <w:pPr>
              <w:jc w:val="right"/>
              <w:rPr>
                <w:i/>
                <w:iCs/>
                <w:sz w:val="18"/>
                <w:szCs w:val="18"/>
              </w:rPr>
            </w:pPr>
            <w:r w:rsidRPr="005D38EF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A40138" w:rsidRPr="005D38EF" w:rsidTr="00A40138">
        <w:trPr>
          <w:gridAfter w:val="1"/>
          <w:wAfter w:w="42" w:type="dxa"/>
          <w:trHeight w:val="360"/>
        </w:trPr>
        <w:tc>
          <w:tcPr>
            <w:tcW w:w="3544" w:type="dxa"/>
            <w:shd w:val="clear" w:color="000000" w:fill="C5BE97"/>
            <w:noWrap/>
            <w:vAlign w:val="center"/>
            <w:hideMark/>
          </w:tcPr>
          <w:p w:rsidR="00A40138" w:rsidRPr="005D38EF" w:rsidRDefault="00A40138" w:rsidP="00A40138">
            <w:pPr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59" w:type="dxa"/>
            <w:shd w:val="clear" w:color="000000" w:fill="C5BE97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9" w:type="dxa"/>
            <w:shd w:val="clear" w:color="000000" w:fill="C5BE97"/>
            <w:noWrap/>
            <w:vAlign w:val="center"/>
            <w:hideMark/>
          </w:tcPr>
          <w:p w:rsidR="00A40138" w:rsidRPr="005D38EF" w:rsidRDefault="00A40138" w:rsidP="00A40138">
            <w:pPr>
              <w:jc w:val="center"/>
              <w:rPr>
                <w:b/>
                <w:bCs/>
                <w:sz w:val="18"/>
                <w:szCs w:val="18"/>
              </w:rPr>
            </w:pPr>
            <w:r w:rsidRPr="005D38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7" w:type="dxa"/>
            <w:shd w:val="clear" w:color="000000" w:fill="C4BD97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739 445,7</w:t>
            </w:r>
          </w:p>
        </w:tc>
        <w:tc>
          <w:tcPr>
            <w:tcW w:w="977" w:type="dxa"/>
            <w:shd w:val="clear" w:color="000000" w:fill="C4BD97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746 081,8</w:t>
            </w:r>
          </w:p>
        </w:tc>
        <w:tc>
          <w:tcPr>
            <w:tcW w:w="1007" w:type="dxa"/>
            <w:shd w:val="clear" w:color="000000" w:fill="C4BD97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6 636,1</w:t>
            </w:r>
          </w:p>
        </w:tc>
        <w:tc>
          <w:tcPr>
            <w:tcW w:w="937" w:type="dxa"/>
            <w:shd w:val="clear" w:color="000000" w:fill="C4BD97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100,9%</w:t>
            </w:r>
          </w:p>
        </w:tc>
        <w:tc>
          <w:tcPr>
            <w:tcW w:w="953" w:type="dxa"/>
            <w:shd w:val="clear" w:color="000000" w:fill="C4BD97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467 830,6</w:t>
            </w:r>
          </w:p>
        </w:tc>
        <w:tc>
          <w:tcPr>
            <w:tcW w:w="1047" w:type="dxa"/>
            <w:shd w:val="clear" w:color="000000" w:fill="C4BD97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467 830,6</w:t>
            </w:r>
          </w:p>
        </w:tc>
        <w:tc>
          <w:tcPr>
            <w:tcW w:w="778" w:type="dxa"/>
            <w:shd w:val="clear" w:color="000000" w:fill="C4BD97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6" w:type="dxa"/>
            <w:shd w:val="clear" w:color="000000" w:fill="C4BD97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53" w:type="dxa"/>
            <w:gridSpan w:val="2"/>
            <w:shd w:val="clear" w:color="000000" w:fill="C4BD97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248 931,6</w:t>
            </w:r>
          </w:p>
        </w:tc>
        <w:tc>
          <w:tcPr>
            <w:tcW w:w="977" w:type="dxa"/>
            <w:shd w:val="clear" w:color="000000" w:fill="C4BD97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248 931,6</w:t>
            </w:r>
          </w:p>
        </w:tc>
        <w:tc>
          <w:tcPr>
            <w:tcW w:w="668" w:type="dxa"/>
            <w:shd w:val="clear" w:color="000000" w:fill="C4BD97"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shd w:val="clear" w:color="000000" w:fill="C4BD97"/>
            <w:noWrap/>
            <w:vAlign w:val="center"/>
            <w:hideMark/>
          </w:tcPr>
          <w:p w:rsidR="00A40138" w:rsidRDefault="00A40138" w:rsidP="00A401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100,0%</w:t>
            </w:r>
          </w:p>
        </w:tc>
      </w:tr>
    </w:tbl>
    <w:p w:rsidR="001E1591" w:rsidRDefault="001E1591" w:rsidP="007A1BD5">
      <w:pPr>
        <w:pStyle w:val="a3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  <w:sectPr w:rsidR="001E1591" w:rsidSect="001E1591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6A10B8" w:rsidRPr="006A10B8" w:rsidRDefault="006A10B8" w:rsidP="006A10B8">
      <w:pPr>
        <w:jc w:val="center"/>
        <w:rPr>
          <w:rFonts w:eastAsiaTheme="minorHAnsi"/>
          <w:b/>
          <w:i/>
          <w:lang w:eastAsia="en-US"/>
        </w:rPr>
      </w:pPr>
      <w:r w:rsidRPr="006A10B8">
        <w:rPr>
          <w:rFonts w:eastAsiaTheme="minorHAnsi"/>
          <w:b/>
          <w:i/>
          <w:lang w:eastAsia="en-US"/>
        </w:rPr>
        <w:lastRenderedPageBreak/>
        <w:t>Дефицит бюджета района</w:t>
      </w:r>
    </w:p>
    <w:p w:rsidR="00044803" w:rsidRPr="00A9630E" w:rsidRDefault="00044803" w:rsidP="004A02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29691901"/>
      <w:r w:rsidRPr="00A9630E">
        <w:rPr>
          <w:rFonts w:ascii="Times New Roman" w:hAnsi="Times New Roman" w:cs="Times New Roman"/>
          <w:sz w:val="24"/>
          <w:szCs w:val="24"/>
        </w:rPr>
        <w:t xml:space="preserve">Проектом решения </w:t>
      </w:r>
      <w:r w:rsidR="00CB57B5" w:rsidRPr="00A9630E">
        <w:rPr>
          <w:rFonts w:ascii="Times New Roman" w:hAnsi="Times New Roman" w:cs="Times New Roman"/>
          <w:sz w:val="24"/>
          <w:szCs w:val="24"/>
        </w:rPr>
        <w:t xml:space="preserve">предлагается к утверждению: «1.3. дефицит бюджета поселения </w:t>
      </w:r>
      <w:r w:rsidR="00267CF1" w:rsidRPr="00A9630E">
        <w:rPr>
          <w:rFonts w:ascii="Times New Roman" w:hAnsi="Times New Roman" w:cs="Times New Roman"/>
          <w:sz w:val="24"/>
          <w:szCs w:val="24"/>
        </w:rPr>
        <w:t xml:space="preserve">на </w:t>
      </w:r>
      <w:r w:rsidR="00267CF1" w:rsidRPr="00A9630E">
        <w:rPr>
          <w:rFonts w:ascii="Times New Roman" w:hAnsi="Times New Roman" w:cs="Times New Roman"/>
          <w:b/>
          <w:sz w:val="24"/>
          <w:szCs w:val="24"/>
        </w:rPr>
        <w:t>2023</w:t>
      </w:r>
      <w:r w:rsidR="00267CF1" w:rsidRPr="00A9630E">
        <w:rPr>
          <w:rFonts w:ascii="Times New Roman" w:hAnsi="Times New Roman" w:cs="Times New Roman"/>
          <w:sz w:val="24"/>
          <w:szCs w:val="24"/>
        </w:rPr>
        <w:t xml:space="preserve"> год </w:t>
      </w:r>
      <w:r w:rsidR="00CB57B5" w:rsidRPr="00A9630E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944535" w:rsidRPr="00A9630E">
        <w:rPr>
          <w:rFonts w:ascii="Times New Roman" w:hAnsi="Times New Roman" w:cs="Times New Roman"/>
          <w:b/>
          <w:sz w:val="24"/>
          <w:szCs w:val="24"/>
        </w:rPr>
        <w:t>139 734,1</w:t>
      </w:r>
      <w:r w:rsidR="00A9630E" w:rsidRPr="00A963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630E" w:rsidRPr="00A9630E">
        <w:rPr>
          <w:rFonts w:ascii="Times New Roman" w:hAnsi="Times New Roman" w:cs="Times New Roman"/>
          <w:sz w:val="24"/>
          <w:szCs w:val="24"/>
        </w:rPr>
        <w:t>тыс.</w:t>
      </w:r>
      <w:r w:rsidR="00CB57B5" w:rsidRPr="00A9630E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CB57B5" w:rsidRPr="00A9630E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FE6BC1">
        <w:rPr>
          <w:rFonts w:ascii="Times New Roman" w:hAnsi="Times New Roman" w:cs="Times New Roman"/>
          <w:b/>
          <w:sz w:val="24"/>
          <w:szCs w:val="24"/>
        </w:rPr>
        <w:t>63,1</w:t>
      </w:r>
      <w:r w:rsidR="00CB57B5" w:rsidRPr="00A9630E">
        <w:rPr>
          <w:rFonts w:ascii="Times New Roman" w:hAnsi="Times New Roman" w:cs="Times New Roman"/>
          <w:sz w:val="24"/>
          <w:szCs w:val="24"/>
        </w:rPr>
        <w:t xml:space="preserve"> процент от утвержденного общего годового объема доходов бюджета поселения без учета утвержденного объема безвозмездных поступлений».</w:t>
      </w:r>
    </w:p>
    <w:p w:rsidR="00A9630E" w:rsidRPr="00A9630E" w:rsidRDefault="008C68E0" w:rsidP="004A02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30E">
        <w:rPr>
          <w:rFonts w:ascii="Times New Roman" w:hAnsi="Times New Roman" w:cs="Times New Roman"/>
          <w:sz w:val="24"/>
          <w:szCs w:val="24"/>
        </w:rPr>
        <w:t>Согласно пояснительной записк</w:t>
      </w:r>
      <w:r w:rsidR="0024596C">
        <w:rPr>
          <w:rFonts w:ascii="Times New Roman" w:hAnsi="Times New Roman" w:cs="Times New Roman"/>
          <w:sz w:val="24"/>
          <w:szCs w:val="24"/>
        </w:rPr>
        <w:t>е</w:t>
      </w:r>
      <w:r w:rsidRPr="00A9630E">
        <w:rPr>
          <w:rFonts w:ascii="Times New Roman" w:hAnsi="Times New Roman" w:cs="Times New Roman"/>
          <w:sz w:val="24"/>
          <w:szCs w:val="24"/>
        </w:rPr>
        <w:t>, предоставленной Администрацией муниципального образования «Вяземский район» С</w:t>
      </w:r>
      <w:bookmarkStart w:id="7" w:name="_GoBack"/>
      <w:bookmarkEnd w:id="7"/>
      <w:r w:rsidRPr="00A9630E">
        <w:rPr>
          <w:rFonts w:ascii="Times New Roman" w:hAnsi="Times New Roman" w:cs="Times New Roman"/>
          <w:sz w:val="24"/>
          <w:szCs w:val="24"/>
        </w:rPr>
        <w:t>моленской области, и</w:t>
      </w:r>
      <w:r w:rsidR="00944535" w:rsidRPr="00A9630E">
        <w:rPr>
          <w:rFonts w:ascii="Times New Roman" w:hAnsi="Times New Roman" w:cs="Times New Roman"/>
          <w:sz w:val="24"/>
          <w:szCs w:val="24"/>
        </w:rPr>
        <w:t xml:space="preserve">сточниками финансирования дефицита бюджета является </w:t>
      </w:r>
      <w:r w:rsidR="00944535" w:rsidRPr="00EA7F4F">
        <w:rPr>
          <w:rFonts w:ascii="Times New Roman" w:hAnsi="Times New Roman" w:cs="Times New Roman"/>
          <w:sz w:val="24"/>
          <w:szCs w:val="24"/>
        </w:rPr>
        <w:t xml:space="preserve">изменение остатков средств бюджета по состоянию на 01.01.2023 года </w:t>
      </w:r>
      <w:r w:rsidR="00944535" w:rsidRPr="00A9630E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944535" w:rsidRPr="00A9630E">
        <w:rPr>
          <w:rFonts w:ascii="Times New Roman" w:hAnsi="Times New Roman" w:cs="Times New Roman"/>
          <w:b/>
          <w:sz w:val="24"/>
          <w:szCs w:val="24"/>
        </w:rPr>
        <w:t>139 734,1</w:t>
      </w:r>
      <w:r w:rsidR="00944535" w:rsidRPr="00A963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4535" w:rsidRPr="00A9630E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A9630E" w:rsidRPr="00A9630E">
        <w:rPr>
          <w:rFonts w:ascii="Times New Roman" w:hAnsi="Times New Roman" w:cs="Times New Roman"/>
          <w:sz w:val="24"/>
          <w:szCs w:val="24"/>
        </w:rPr>
        <w:t>.</w:t>
      </w:r>
    </w:p>
    <w:bookmarkEnd w:id="6"/>
    <w:p w:rsidR="001275ED" w:rsidRDefault="001275ED" w:rsidP="00F7630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B4E2D" w:rsidRDefault="0024596C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501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24596C" w:rsidRPr="001275ED" w:rsidRDefault="0024596C" w:rsidP="001275ED">
      <w:pPr>
        <w:pStyle w:val="a8"/>
        <w:numPr>
          <w:ilvl w:val="0"/>
          <w:numId w:val="37"/>
        </w:numPr>
        <w:ind w:left="0"/>
        <w:jc w:val="both"/>
        <w:rPr>
          <w:rFonts w:eastAsiaTheme="minorHAnsi"/>
          <w:lang w:eastAsia="en-US"/>
        </w:rPr>
      </w:pPr>
      <w:r w:rsidRPr="001275ED">
        <w:rPr>
          <w:rFonts w:eastAsiaTheme="minorHAnsi"/>
          <w:i/>
          <w:u w:val="single"/>
          <w:lang w:eastAsia="en-US"/>
        </w:rPr>
        <w:t>Доходная часть бюджета</w:t>
      </w:r>
      <w:r w:rsidRPr="000F06AB">
        <w:rPr>
          <w:rFonts w:eastAsiaTheme="minorHAnsi"/>
          <w:b/>
          <w:lang w:eastAsia="en-US"/>
        </w:rPr>
        <w:t xml:space="preserve"> </w:t>
      </w:r>
      <w:r w:rsidRPr="001275ED">
        <w:t>Вяземского городского поселения Вяземского района Смоленской области</w:t>
      </w:r>
      <w:r w:rsidR="001275ED">
        <w:t>:</w:t>
      </w:r>
    </w:p>
    <w:p w:rsidR="0024596C" w:rsidRPr="00234501" w:rsidRDefault="0024596C" w:rsidP="009D6B7A">
      <w:pPr>
        <w:pStyle w:val="a8"/>
        <w:numPr>
          <w:ilvl w:val="0"/>
          <w:numId w:val="43"/>
        </w:numPr>
        <w:tabs>
          <w:tab w:val="left" w:pos="0"/>
        </w:tabs>
        <w:ind w:left="426"/>
        <w:jc w:val="both"/>
        <w:rPr>
          <w:rFonts w:eastAsiaTheme="minorHAnsi"/>
          <w:lang w:eastAsia="en-US"/>
        </w:rPr>
      </w:pPr>
      <w:r w:rsidRPr="00234501">
        <w:rPr>
          <w:rFonts w:eastAsiaTheme="minorHAnsi"/>
          <w:lang w:eastAsia="en-US"/>
        </w:rPr>
        <w:t xml:space="preserve">на 2023 год предлагается к утверждению в сумме </w:t>
      </w:r>
      <w:r w:rsidR="00FE6BC1">
        <w:rPr>
          <w:b/>
        </w:rPr>
        <w:t>606 347,7</w:t>
      </w:r>
      <w:r w:rsidRPr="00234501">
        <w:rPr>
          <w:rFonts w:eastAsiaTheme="minorHAnsi"/>
          <w:lang w:eastAsia="en-US"/>
        </w:rPr>
        <w:t xml:space="preserve"> </w:t>
      </w:r>
      <w:proofErr w:type="gramStart"/>
      <w:r w:rsidRPr="00234501">
        <w:rPr>
          <w:rFonts w:eastAsiaTheme="minorHAnsi"/>
          <w:lang w:eastAsia="en-US"/>
        </w:rPr>
        <w:t>тыс.рублей</w:t>
      </w:r>
      <w:proofErr w:type="gramEnd"/>
      <w:r w:rsidR="001275ED" w:rsidRPr="00234501">
        <w:rPr>
          <w:rFonts w:eastAsiaTheme="minorHAnsi"/>
          <w:lang w:eastAsia="en-US"/>
        </w:rPr>
        <w:t xml:space="preserve"> </w:t>
      </w:r>
      <w:r w:rsidRPr="00234501">
        <w:rPr>
          <w:rFonts w:eastAsiaTheme="minorHAnsi"/>
          <w:lang w:eastAsia="en-US"/>
        </w:rPr>
        <w:t>с увеличением на</w:t>
      </w:r>
      <w:r w:rsidR="001275ED" w:rsidRPr="00234501">
        <w:rPr>
          <w:rFonts w:eastAsiaTheme="minorHAnsi"/>
          <w:lang w:eastAsia="en-US"/>
        </w:rPr>
        <w:t xml:space="preserve"> </w:t>
      </w:r>
      <w:r w:rsidR="00FE6BC1">
        <w:rPr>
          <w:rFonts w:eastAsiaTheme="minorHAnsi"/>
          <w:lang w:eastAsia="en-US"/>
        </w:rPr>
        <w:t>6  636,2</w:t>
      </w:r>
      <w:r w:rsidRPr="00234501">
        <w:rPr>
          <w:rFonts w:eastAsiaTheme="minorHAnsi"/>
          <w:lang w:eastAsia="en-US"/>
        </w:rPr>
        <w:t xml:space="preserve"> тыс.рублей: </w:t>
      </w:r>
    </w:p>
    <w:p w:rsidR="0024596C" w:rsidRPr="001275ED" w:rsidRDefault="0024596C" w:rsidP="009D6B7A">
      <w:pPr>
        <w:pStyle w:val="a8"/>
        <w:tabs>
          <w:tab w:val="left" w:pos="0"/>
        </w:tabs>
        <w:ind w:left="426"/>
        <w:jc w:val="both"/>
        <w:rPr>
          <w:rFonts w:eastAsiaTheme="minorHAnsi"/>
          <w:i/>
          <w:lang w:eastAsia="en-US"/>
        </w:rPr>
      </w:pPr>
      <w:r w:rsidRPr="001275ED">
        <w:rPr>
          <w:rFonts w:eastAsiaTheme="minorHAnsi"/>
          <w:i/>
          <w:lang w:eastAsia="en-US"/>
        </w:rPr>
        <w:t xml:space="preserve">за счет увеличения собственных доходов в сумме </w:t>
      </w:r>
      <w:r w:rsidR="00FE6BC1">
        <w:rPr>
          <w:rFonts w:eastAsiaTheme="minorHAnsi"/>
          <w:i/>
          <w:lang w:eastAsia="en-US"/>
        </w:rPr>
        <w:t>7 026,3</w:t>
      </w:r>
      <w:r w:rsidRPr="001275ED">
        <w:rPr>
          <w:rFonts w:eastAsiaTheme="minorHAnsi"/>
          <w:i/>
          <w:lang w:eastAsia="en-US"/>
        </w:rPr>
        <w:t xml:space="preserve"> </w:t>
      </w:r>
      <w:proofErr w:type="gramStart"/>
      <w:r w:rsidRPr="001275ED">
        <w:rPr>
          <w:rFonts w:eastAsiaTheme="minorHAnsi"/>
          <w:i/>
          <w:lang w:eastAsia="en-US"/>
        </w:rPr>
        <w:t>тыс.рублей</w:t>
      </w:r>
      <w:proofErr w:type="gramEnd"/>
      <w:r w:rsidRPr="001275ED">
        <w:rPr>
          <w:rFonts w:eastAsiaTheme="minorHAnsi"/>
          <w:i/>
          <w:lang w:eastAsia="en-US"/>
        </w:rPr>
        <w:t xml:space="preserve">: </w:t>
      </w:r>
    </w:p>
    <w:p w:rsidR="0024596C" w:rsidRPr="001275ED" w:rsidRDefault="0024596C" w:rsidP="009D6B7A">
      <w:pPr>
        <w:pStyle w:val="a8"/>
        <w:tabs>
          <w:tab w:val="left" w:pos="0"/>
        </w:tabs>
        <w:ind w:left="426"/>
        <w:jc w:val="both"/>
        <w:rPr>
          <w:rFonts w:eastAsiaTheme="minorHAnsi"/>
          <w:i/>
          <w:lang w:eastAsia="en-US"/>
        </w:rPr>
      </w:pPr>
      <w:r w:rsidRPr="001275ED">
        <w:rPr>
          <w:rFonts w:eastAsiaTheme="minorHAnsi"/>
          <w:i/>
          <w:lang w:eastAsia="en-US"/>
        </w:rPr>
        <w:t xml:space="preserve">за счет </w:t>
      </w:r>
      <w:r w:rsidR="00FE6BC1">
        <w:rPr>
          <w:rFonts w:eastAsiaTheme="minorHAnsi"/>
          <w:i/>
          <w:lang w:eastAsia="en-US"/>
        </w:rPr>
        <w:t>уменьшения</w:t>
      </w:r>
      <w:r w:rsidRPr="001275ED">
        <w:rPr>
          <w:rFonts w:eastAsiaTheme="minorHAnsi"/>
          <w:i/>
          <w:lang w:eastAsia="en-US"/>
        </w:rPr>
        <w:t xml:space="preserve"> безвозмездных поступлений в сумме </w:t>
      </w:r>
      <w:r w:rsidR="00FE6BC1">
        <w:rPr>
          <w:rFonts w:eastAsiaTheme="minorHAnsi"/>
          <w:bCs/>
          <w:i/>
          <w:lang w:eastAsia="en-US"/>
        </w:rPr>
        <w:t>390,1</w:t>
      </w:r>
      <w:r w:rsidRPr="001275ED">
        <w:rPr>
          <w:rFonts w:eastAsiaTheme="minorHAnsi"/>
          <w:bCs/>
          <w:i/>
          <w:lang w:eastAsia="en-US"/>
        </w:rPr>
        <w:t xml:space="preserve"> </w:t>
      </w:r>
      <w:proofErr w:type="gramStart"/>
      <w:r w:rsidRPr="001275ED">
        <w:rPr>
          <w:rFonts w:eastAsiaTheme="minorHAnsi"/>
          <w:i/>
          <w:lang w:eastAsia="en-US"/>
        </w:rPr>
        <w:t>тыс.рублей</w:t>
      </w:r>
      <w:proofErr w:type="gramEnd"/>
      <w:r w:rsidRPr="001275ED">
        <w:rPr>
          <w:rFonts w:eastAsiaTheme="minorHAnsi"/>
          <w:i/>
          <w:lang w:eastAsia="en-US"/>
        </w:rPr>
        <w:t>;</w:t>
      </w:r>
    </w:p>
    <w:p w:rsidR="0024596C" w:rsidRPr="000F06AB" w:rsidRDefault="0024596C" w:rsidP="009D6B7A">
      <w:pPr>
        <w:pStyle w:val="a8"/>
        <w:numPr>
          <w:ilvl w:val="0"/>
          <w:numId w:val="43"/>
        </w:numPr>
        <w:tabs>
          <w:tab w:val="left" w:pos="0"/>
        </w:tabs>
        <w:ind w:left="426"/>
        <w:jc w:val="both"/>
      </w:pPr>
      <w:r w:rsidRPr="000F06AB">
        <w:t>на 2024 год</w:t>
      </w:r>
      <w:r w:rsidR="001275ED">
        <w:t xml:space="preserve"> </w:t>
      </w:r>
      <w:r w:rsidRPr="00176CB0">
        <w:t xml:space="preserve">предлагается к утверждению в сумме </w:t>
      </w:r>
      <w:r w:rsidR="001275ED" w:rsidRPr="00234501">
        <w:rPr>
          <w:b/>
        </w:rPr>
        <w:t>467 830,</w:t>
      </w:r>
      <w:r w:rsidR="0049316E">
        <w:rPr>
          <w:b/>
        </w:rPr>
        <w:t>6</w:t>
      </w:r>
      <w:r w:rsidRPr="00176CB0">
        <w:t xml:space="preserve"> </w:t>
      </w:r>
      <w:proofErr w:type="gramStart"/>
      <w:r w:rsidRPr="00176CB0">
        <w:t>тыс.рублей</w:t>
      </w:r>
      <w:proofErr w:type="gramEnd"/>
      <w:r w:rsidRPr="00176CB0">
        <w:t xml:space="preserve"> </w:t>
      </w:r>
      <w:bookmarkStart w:id="8" w:name="_Hlk153269105"/>
      <w:r w:rsidR="00FE6BC1">
        <w:t>(без изменений)</w:t>
      </w:r>
      <w:bookmarkEnd w:id="8"/>
      <w:r w:rsidRPr="000F06AB">
        <w:t>;</w:t>
      </w:r>
    </w:p>
    <w:p w:rsidR="0024596C" w:rsidRDefault="0024596C" w:rsidP="009D6B7A">
      <w:pPr>
        <w:pStyle w:val="a8"/>
        <w:numPr>
          <w:ilvl w:val="0"/>
          <w:numId w:val="43"/>
        </w:numPr>
        <w:tabs>
          <w:tab w:val="left" w:pos="0"/>
        </w:tabs>
        <w:ind w:left="426"/>
        <w:jc w:val="both"/>
      </w:pPr>
      <w:r w:rsidRPr="000F06AB">
        <w:t xml:space="preserve">на 2025 год </w:t>
      </w:r>
      <w:r w:rsidRPr="00176CB0">
        <w:t xml:space="preserve">предлагается к утверждению в сумме </w:t>
      </w:r>
      <w:r w:rsidR="001275ED" w:rsidRPr="00234501">
        <w:rPr>
          <w:b/>
        </w:rPr>
        <w:t>252 470,7</w:t>
      </w:r>
      <w:r w:rsidRPr="00176CB0">
        <w:t xml:space="preserve"> </w:t>
      </w:r>
      <w:proofErr w:type="gramStart"/>
      <w:r w:rsidRPr="00176CB0">
        <w:t>тыс.рублей</w:t>
      </w:r>
      <w:proofErr w:type="gramEnd"/>
      <w:r w:rsidRPr="00176CB0">
        <w:t xml:space="preserve"> </w:t>
      </w:r>
      <w:r w:rsidR="001275ED">
        <w:t>(без изменений)</w:t>
      </w:r>
      <w:r w:rsidRPr="000F06AB">
        <w:t>.</w:t>
      </w:r>
    </w:p>
    <w:p w:rsidR="0024596C" w:rsidRPr="000F06AB" w:rsidRDefault="0024596C" w:rsidP="00234501">
      <w:pPr>
        <w:pStyle w:val="a8"/>
        <w:numPr>
          <w:ilvl w:val="0"/>
          <w:numId w:val="37"/>
        </w:numPr>
        <w:ind w:left="0"/>
        <w:jc w:val="both"/>
      </w:pPr>
      <w:r w:rsidRPr="001275ED">
        <w:rPr>
          <w:rFonts w:eastAsiaTheme="minorHAnsi"/>
          <w:i/>
          <w:u w:val="single"/>
          <w:lang w:eastAsia="en-US"/>
        </w:rPr>
        <w:t>Общие расходы бюджета</w:t>
      </w:r>
      <w:r w:rsidRPr="001275ED">
        <w:rPr>
          <w:rFonts w:eastAsiaTheme="minorHAnsi"/>
          <w:lang w:eastAsia="en-US"/>
        </w:rPr>
        <w:t xml:space="preserve"> </w:t>
      </w:r>
      <w:r w:rsidR="001275ED" w:rsidRPr="001275ED">
        <w:t>Вяземского городского поселения Вяземского района Смоленской области</w:t>
      </w:r>
      <w:r w:rsidRPr="000F06AB">
        <w:t>:</w:t>
      </w:r>
    </w:p>
    <w:p w:rsidR="00234501" w:rsidRPr="003330A4" w:rsidRDefault="00234501" w:rsidP="009D6B7A">
      <w:pPr>
        <w:pStyle w:val="a8"/>
        <w:numPr>
          <w:ilvl w:val="0"/>
          <w:numId w:val="42"/>
        </w:numPr>
        <w:tabs>
          <w:tab w:val="left" w:pos="720"/>
        </w:tabs>
        <w:ind w:left="284"/>
        <w:jc w:val="both"/>
      </w:pPr>
      <w:r w:rsidRPr="003330A4">
        <w:t xml:space="preserve">на 2023 год в сумме </w:t>
      </w:r>
      <w:r w:rsidR="0069177D">
        <w:rPr>
          <w:b/>
        </w:rPr>
        <w:t>746 081,8</w:t>
      </w:r>
      <w:r w:rsidRPr="003330A4">
        <w:rPr>
          <w:b/>
        </w:rPr>
        <w:t xml:space="preserve"> </w:t>
      </w:r>
      <w:proofErr w:type="gramStart"/>
      <w:r w:rsidRPr="003330A4">
        <w:t>тыс.рублей</w:t>
      </w:r>
      <w:proofErr w:type="gramEnd"/>
      <w:r w:rsidRPr="003330A4">
        <w:t xml:space="preserve"> с увеличением на </w:t>
      </w:r>
      <w:r w:rsidR="0069177D">
        <w:rPr>
          <w:b/>
        </w:rPr>
        <w:t>6 636,1</w:t>
      </w:r>
      <w:r w:rsidRPr="003330A4">
        <w:t xml:space="preserve"> тыс.рублей (или на </w:t>
      </w:r>
      <w:r w:rsidR="0069177D">
        <w:rPr>
          <w:b/>
        </w:rPr>
        <w:t>0,9</w:t>
      </w:r>
      <w:r w:rsidRPr="003330A4">
        <w:t>%);</w:t>
      </w:r>
    </w:p>
    <w:p w:rsidR="00234501" w:rsidRPr="003330A4" w:rsidRDefault="00234501" w:rsidP="009D6B7A">
      <w:pPr>
        <w:pStyle w:val="a8"/>
        <w:numPr>
          <w:ilvl w:val="0"/>
          <w:numId w:val="42"/>
        </w:numPr>
        <w:tabs>
          <w:tab w:val="left" w:pos="720"/>
        </w:tabs>
        <w:ind w:left="284"/>
        <w:jc w:val="both"/>
      </w:pPr>
      <w:r w:rsidRPr="003330A4">
        <w:t xml:space="preserve">на 2024 год – </w:t>
      </w:r>
      <w:r w:rsidRPr="003330A4">
        <w:rPr>
          <w:b/>
        </w:rPr>
        <w:t>467 830,6</w:t>
      </w:r>
      <w:r w:rsidRPr="003330A4">
        <w:t xml:space="preserve"> тыс. рублей </w:t>
      </w:r>
      <w:r w:rsidR="00045CCF" w:rsidRPr="00045CCF">
        <w:t>(без изменений)</w:t>
      </w:r>
      <w:r w:rsidRPr="003330A4">
        <w:t>;</w:t>
      </w:r>
    </w:p>
    <w:p w:rsidR="00A852B8" w:rsidRDefault="00234501" w:rsidP="009D6B7A">
      <w:pPr>
        <w:pStyle w:val="a8"/>
        <w:numPr>
          <w:ilvl w:val="0"/>
          <w:numId w:val="42"/>
        </w:numPr>
        <w:tabs>
          <w:tab w:val="left" w:pos="720"/>
        </w:tabs>
        <w:ind w:left="284"/>
        <w:jc w:val="both"/>
      </w:pPr>
      <w:r w:rsidRPr="003330A4">
        <w:t xml:space="preserve">на 2025 год – </w:t>
      </w:r>
      <w:r w:rsidRPr="003330A4">
        <w:rPr>
          <w:b/>
        </w:rPr>
        <w:t>248 931,6</w:t>
      </w:r>
      <w:r w:rsidRPr="003330A4">
        <w:t xml:space="preserve"> </w:t>
      </w:r>
      <w:proofErr w:type="gramStart"/>
      <w:r w:rsidRPr="003330A4">
        <w:t>тыс.рублей</w:t>
      </w:r>
      <w:proofErr w:type="gramEnd"/>
      <w:r w:rsidRPr="003330A4">
        <w:t xml:space="preserve"> (без изменений).</w:t>
      </w:r>
    </w:p>
    <w:p w:rsidR="00A852B8" w:rsidRPr="00A852B8" w:rsidRDefault="00A852B8" w:rsidP="00A852B8">
      <w:pPr>
        <w:pStyle w:val="a8"/>
        <w:numPr>
          <w:ilvl w:val="0"/>
          <w:numId w:val="37"/>
        </w:numPr>
        <w:tabs>
          <w:tab w:val="left" w:pos="720"/>
        </w:tabs>
        <w:ind w:left="0"/>
        <w:jc w:val="both"/>
      </w:pPr>
      <w:r w:rsidRPr="00A852B8">
        <w:rPr>
          <w:color w:val="0A0A0A"/>
        </w:rPr>
        <w:t xml:space="preserve">Общий </w:t>
      </w:r>
      <w:r w:rsidRPr="00A301B6">
        <w:rPr>
          <w:i/>
          <w:color w:val="0A0A0A"/>
          <w:u w:val="single"/>
        </w:rPr>
        <w:t>объем финансирования муниципальных программ</w:t>
      </w:r>
      <w:r w:rsidRPr="00A852B8">
        <w:rPr>
          <w:color w:val="0A0A0A"/>
        </w:rPr>
        <w:t xml:space="preserve"> планируется утвердить:</w:t>
      </w:r>
    </w:p>
    <w:p w:rsidR="00A852B8" w:rsidRPr="004E7585" w:rsidRDefault="00A852B8" w:rsidP="009D6B7A">
      <w:pPr>
        <w:pStyle w:val="a8"/>
        <w:numPr>
          <w:ilvl w:val="0"/>
          <w:numId w:val="40"/>
        </w:numPr>
        <w:ind w:left="284"/>
        <w:jc w:val="both"/>
      </w:pPr>
      <w:r w:rsidRPr="004E7585">
        <w:rPr>
          <w:color w:val="0A0A0A"/>
        </w:rPr>
        <w:t xml:space="preserve">на </w:t>
      </w:r>
      <w:r w:rsidRPr="004E7585">
        <w:rPr>
          <w:b/>
          <w:color w:val="0A0A0A"/>
        </w:rPr>
        <w:t>2023</w:t>
      </w:r>
      <w:r w:rsidRPr="004E7585">
        <w:rPr>
          <w:color w:val="0A0A0A"/>
        </w:rPr>
        <w:t xml:space="preserve"> год в сумме </w:t>
      </w:r>
      <w:r w:rsidR="00045CCF">
        <w:rPr>
          <w:b/>
          <w:bCs/>
          <w:color w:val="000000"/>
        </w:rPr>
        <w:t>737 050,2</w:t>
      </w:r>
      <w:r w:rsidRPr="004E7585">
        <w:rPr>
          <w:b/>
          <w:bCs/>
          <w:color w:val="000000"/>
        </w:rPr>
        <w:t xml:space="preserve"> </w:t>
      </w:r>
      <w:proofErr w:type="gramStart"/>
      <w:r w:rsidRPr="004E7585">
        <w:rPr>
          <w:color w:val="0A0A0A"/>
        </w:rPr>
        <w:t>тыс.рублей</w:t>
      </w:r>
      <w:proofErr w:type="gramEnd"/>
      <w:r w:rsidRPr="004E7585">
        <w:rPr>
          <w:color w:val="0A0A0A"/>
        </w:rPr>
        <w:t xml:space="preserve"> с </w:t>
      </w:r>
      <w:r w:rsidRPr="004E7585">
        <w:rPr>
          <w:i/>
          <w:color w:val="0A0A0A"/>
        </w:rPr>
        <w:t>увеличением</w:t>
      </w:r>
      <w:r w:rsidRPr="004E7585">
        <w:rPr>
          <w:color w:val="0A0A0A"/>
        </w:rPr>
        <w:t xml:space="preserve"> на </w:t>
      </w:r>
      <w:r w:rsidR="00045CCF">
        <w:rPr>
          <w:color w:val="0A0A0A"/>
        </w:rPr>
        <w:t>7 867,2</w:t>
      </w:r>
      <w:r w:rsidRPr="004E7585">
        <w:rPr>
          <w:color w:val="0A0A0A"/>
        </w:rPr>
        <w:t xml:space="preserve"> тыс.рублей </w:t>
      </w:r>
      <w:r w:rsidR="009D6B7A">
        <w:rPr>
          <w:color w:val="0A0A0A"/>
        </w:rPr>
        <w:t>(</w:t>
      </w:r>
      <w:r w:rsidRPr="004E7585">
        <w:rPr>
          <w:color w:val="0A0A0A"/>
        </w:rPr>
        <w:t xml:space="preserve">на </w:t>
      </w:r>
      <w:r w:rsidR="00045CCF">
        <w:rPr>
          <w:color w:val="0A0A0A"/>
        </w:rPr>
        <w:t>1,1</w:t>
      </w:r>
      <w:r w:rsidRPr="004E7585">
        <w:rPr>
          <w:color w:val="0A0A0A"/>
        </w:rPr>
        <w:t>%</w:t>
      </w:r>
      <w:r w:rsidR="009D6B7A">
        <w:rPr>
          <w:color w:val="0A0A0A"/>
        </w:rPr>
        <w:t>)</w:t>
      </w:r>
      <w:r w:rsidRPr="004E7585">
        <w:t>;</w:t>
      </w:r>
    </w:p>
    <w:p w:rsidR="00A852B8" w:rsidRPr="004E7585" w:rsidRDefault="00A852B8" w:rsidP="009D6B7A">
      <w:pPr>
        <w:pStyle w:val="a8"/>
        <w:numPr>
          <w:ilvl w:val="0"/>
          <w:numId w:val="40"/>
        </w:numPr>
        <w:ind w:left="284"/>
        <w:jc w:val="both"/>
      </w:pPr>
      <w:r w:rsidRPr="004E7585">
        <w:rPr>
          <w:color w:val="0A0A0A"/>
        </w:rPr>
        <w:t xml:space="preserve">на </w:t>
      </w:r>
      <w:r w:rsidRPr="004E7585">
        <w:rPr>
          <w:b/>
          <w:color w:val="0A0A0A"/>
        </w:rPr>
        <w:t>2024</w:t>
      </w:r>
      <w:r w:rsidRPr="004E7585">
        <w:rPr>
          <w:color w:val="0A0A0A"/>
        </w:rPr>
        <w:t xml:space="preserve"> год в сумме </w:t>
      </w:r>
      <w:r w:rsidRPr="004E7585">
        <w:rPr>
          <w:b/>
          <w:bCs/>
          <w:color w:val="000000"/>
        </w:rPr>
        <w:t>259 459,2</w:t>
      </w:r>
      <w:r w:rsidR="0049316E">
        <w:rPr>
          <w:b/>
          <w:bCs/>
          <w:color w:val="000000"/>
        </w:rPr>
        <w:t xml:space="preserve"> </w:t>
      </w:r>
      <w:r w:rsidRPr="004E7585">
        <w:rPr>
          <w:color w:val="0A0A0A"/>
        </w:rPr>
        <w:t xml:space="preserve">тыс. рублей </w:t>
      </w:r>
      <w:r w:rsidR="00045CCF" w:rsidRPr="00045CCF">
        <w:rPr>
          <w:color w:val="0A0A0A"/>
        </w:rPr>
        <w:t>(без изменений)</w:t>
      </w:r>
      <w:r w:rsidRPr="004E7585">
        <w:t>;</w:t>
      </w:r>
    </w:p>
    <w:p w:rsidR="0024596C" w:rsidRDefault="00A852B8" w:rsidP="009D6B7A">
      <w:pPr>
        <w:pStyle w:val="a8"/>
        <w:numPr>
          <w:ilvl w:val="0"/>
          <w:numId w:val="40"/>
        </w:numPr>
        <w:ind w:left="284"/>
        <w:jc w:val="both"/>
      </w:pPr>
      <w:r w:rsidRPr="004E7585">
        <w:rPr>
          <w:color w:val="0A0A0A"/>
        </w:rPr>
        <w:t xml:space="preserve">на </w:t>
      </w:r>
      <w:r w:rsidRPr="004E7585">
        <w:rPr>
          <w:b/>
          <w:color w:val="0A0A0A"/>
        </w:rPr>
        <w:t>2025</w:t>
      </w:r>
      <w:r w:rsidRPr="004E7585">
        <w:rPr>
          <w:color w:val="0A0A0A"/>
        </w:rPr>
        <w:t xml:space="preserve"> год в сумме </w:t>
      </w:r>
      <w:r w:rsidRPr="004E7585">
        <w:rPr>
          <w:b/>
          <w:bCs/>
          <w:color w:val="000000"/>
        </w:rPr>
        <w:t>233 276,5</w:t>
      </w:r>
      <w:r w:rsidR="0049316E">
        <w:rPr>
          <w:b/>
          <w:bCs/>
          <w:color w:val="000000"/>
        </w:rPr>
        <w:t xml:space="preserve"> </w:t>
      </w:r>
      <w:r w:rsidRPr="004E7585">
        <w:rPr>
          <w:color w:val="0A0A0A"/>
        </w:rPr>
        <w:t xml:space="preserve">тыс. рублей </w:t>
      </w:r>
      <w:r w:rsidR="00045CCF" w:rsidRPr="00045CCF">
        <w:rPr>
          <w:color w:val="0A0A0A"/>
        </w:rPr>
        <w:t>(без изменений)</w:t>
      </w:r>
      <w:r w:rsidRPr="004E7585">
        <w:t>.</w:t>
      </w:r>
    </w:p>
    <w:p w:rsidR="0024596C" w:rsidRPr="000F06AB" w:rsidRDefault="0024596C" w:rsidP="00234501">
      <w:pPr>
        <w:pStyle w:val="a8"/>
        <w:numPr>
          <w:ilvl w:val="0"/>
          <w:numId w:val="37"/>
        </w:numPr>
        <w:tabs>
          <w:tab w:val="left" w:pos="284"/>
          <w:tab w:val="left" w:pos="426"/>
        </w:tabs>
        <w:ind w:left="0" w:hanging="284"/>
        <w:jc w:val="both"/>
      </w:pPr>
      <w:r w:rsidRPr="00A301B6">
        <w:rPr>
          <w:rFonts w:eastAsiaTheme="minorHAnsi"/>
          <w:i/>
          <w:u w:val="single"/>
          <w:lang w:eastAsia="en-US"/>
        </w:rPr>
        <w:t xml:space="preserve">Дефицит бюджета </w:t>
      </w:r>
      <w:r w:rsidR="00A301B6" w:rsidRPr="001275ED">
        <w:t>Вяземского городского поселения Вяземского района Смоленской области</w:t>
      </w:r>
      <w:r w:rsidRPr="000F06AB">
        <w:rPr>
          <w:rFonts w:eastAsiaTheme="minorHAnsi"/>
          <w:b/>
          <w:lang w:eastAsia="en-US"/>
        </w:rPr>
        <w:t>:</w:t>
      </w:r>
    </w:p>
    <w:p w:rsidR="00B33513" w:rsidRPr="00B33513" w:rsidRDefault="0024596C" w:rsidP="009D6B7A">
      <w:pPr>
        <w:pStyle w:val="a3"/>
        <w:numPr>
          <w:ilvl w:val="0"/>
          <w:numId w:val="4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3513">
        <w:rPr>
          <w:rFonts w:ascii="Times New Roman" w:hAnsi="Times New Roman" w:cs="Times New Roman"/>
          <w:sz w:val="24"/>
          <w:szCs w:val="24"/>
        </w:rPr>
        <w:t xml:space="preserve">на 2023 год планируется утвердить в сумме </w:t>
      </w:r>
      <w:r w:rsidR="00B33513" w:rsidRPr="00B33513">
        <w:rPr>
          <w:rFonts w:ascii="Times New Roman" w:hAnsi="Times New Roman" w:cs="Times New Roman"/>
          <w:b/>
          <w:sz w:val="24"/>
          <w:szCs w:val="24"/>
        </w:rPr>
        <w:t>139 734,1</w:t>
      </w:r>
      <w:r w:rsidR="00B33513" w:rsidRPr="00B33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3513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B33513">
        <w:rPr>
          <w:rFonts w:ascii="Times New Roman" w:hAnsi="Times New Roman" w:cs="Times New Roman"/>
          <w:sz w:val="24"/>
          <w:szCs w:val="24"/>
        </w:rPr>
        <w:t>,</w:t>
      </w:r>
      <w:r w:rsidR="00B33513" w:rsidRPr="00B33513">
        <w:rPr>
          <w:rFonts w:ascii="Times New Roman" w:hAnsi="Times New Roman" w:cs="Times New Roman"/>
          <w:sz w:val="24"/>
          <w:szCs w:val="24"/>
        </w:rPr>
        <w:t xml:space="preserve"> </w:t>
      </w:r>
      <w:r w:rsidRPr="00B33513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045CCF">
        <w:rPr>
          <w:rFonts w:ascii="Times New Roman" w:hAnsi="Times New Roman" w:cs="Times New Roman"/>
          <w:sz w:val="24"/>
          <w:szCs w:val="24"/>
        </w:rPr>
        <w:t>63,1</w:t>
      </w:r>
      <w:r w:rsidRPr="00B33513">
        <w:rPr>
          <w:rFonts w:ascii="Times New Roman" w:hAnsi="Times New Roman" w:cs="Times New Roman"/>
          <w:sz w:val="24"/>
          <w:szCs w:val="24"/>
        </w:rPr>
        <w:t xml:space="preserve">  процента от утвержденного общего годового объема доходов бюджета </w:t>
      </w:r>
      <w:r w:rsidR="00B33513" w:rsidRPr="00B33513">
        <w:rPr>
          <w:rFonts w:ascii="Times New Roman" w:hAnsi="Times New Roman" w:cs="Times New Roman"/>
          <w:sz w:val="24"/>
          <w:szCs w:val="24"/>
        </w:rPr>
        <w:t>поселения</w:t>
      </w:r>
      <w:r w:rsidRPr="00B33513">
        <w:rPr>
          <w:rFonts w:ascii="Times New Roman" w:hAnsi="Times New Roman" w:cs="Times New Roman"/>
          <w:sz w:val="24"/>
          <w:szCs w:val="24"/>
        </w:rPr>
        <w:t xml:space="preserve"> без учета утвержденного объема безвозмездных поступлений.</w:t>
      </w:r>
      <w:r w:rsidR="00B33513" w:rsidRPr="00B33513">
        <w:rPr>
          <w:rFonts w:ascii="Times New Roman" w:hAnsi="Times New Roman" w:cs="Times New Roman"/>
          <w:sz w:val="24"/>
          <w:szCs w:val="24"/>
        </w:rPr>
        <w:t xml:space="preserve"> Источниками финансирования дефицита бюджета является изменение остатков средств бюджета по состоянию на 01.01.2023 года в сумме </w:t>
      </w:r>
      <w:r w:rsidR="00B33513" w:rsidRPr="00B33513">
        <w:rPr>
          <w:rFonts w:ascii="Times New Roman" w:hAnsi="Times New Roman" w:cs="Times New Roman"/>
          <w:b/>
          <w:sz w:val="24"/>
          <w:szCs w:val="24"/>
        </w:rPr>
        <w:t>139 734,1</w:t>
      </w:r>
      <w:r w:rsidR="00B33513" w:rsidRPr="00B33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3513" w:rsidRPr="00B33513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</w:p>
    <w:p w:rsidR="0024596C" w:rsidRPr="00B33513" w:rsidRDefault="0024596C" w:rsidP="009D6B7A">
      <w:pPr>
        <w:pStyle w:val="a8"/>
        <w:numPr>
          <w:ilvl w:val="0"/>
          <w:numId w:val="44"/>
        </w:numPr>
        <w:ind w:left="426" w:right="53"/>
        <w:jc w:val="both"/>
      </w:pPr>
      <w:r w:rsidRPr="00B33513">
        <w:t xml:space="preserve">на 2024 год утвердить с дефицитом (профицитом) в размере </w:t>
      </w:r>
      <w:r w:rsidRPr="00B33513">
        <w:rPr>
          <w:b/>
        </w:rPr>
        <w:t>0,0</w:t>
      </w:r>
      <w:r w:rsidRPr="00B33513">
        <w:t xml:space="preserve"> </w:t>
      </w:r>
      <w:proofErr w:type="gramStart"/>
      <w:r w:rsidRPr="00B33513">
        <w:t>тыс.рублей</w:t>
      </w:r>
      <w:proofErr w:type="gramEnd"/>
      <w:r w:rsidRPr="00B33513">
        <w:t>, без изменений;</w:t>
      </w:r>
    </w:p>
    <w:p w:rsidR="0024596C" w:rsidRPr="00B33513" w:rsidRDefault="0024596C" w:rsidP="009D6B7A">
      <w:pPr>
        <w:pStyle w:val="a8"/>
        <w:numPr>
          <w:ilvl w:val="0"/>
          <w:numId w:val="44"/>
        </w:numPr>
        <w:ind w:left="426" w:right="53"/>
        <w:jc w:val="both"/>
      </w:pPr>
      <w:r w:rsidRPr="00B33513">
        <w:t xml:space="preserve">на 2025 год бюджет - с профицитом в сумме </w:t>
      </w:r>
      <w:r w:rsidR="00B33513" w:rsidRPr="00B33513">
        <w:rPr>
          <w:b/>
        </w:rPr>
        <w:t>3 539,1</w:t>
      </w:r>
      <w:r w:rsidRPr="00B33513">
        <w:t xml:space="preserve"> </w:t>
      </w:r>
      <w:proofErr w:type="gramStart"/>
      <w:r w:rsidRPr="00B33513">
        <w:t>тыс.рублей</w:t>
      </w:r>
      <w:proofErr w:type="gramEnd"/>
      <w:r w:rsidRPr="00B33513">
        <w:t xml:space="preserve">, без изменений. </w:t>
      </w:r>
    </w:p>
    <w:p w:rsidR="00A13910" w:rsidRDefault="00A1391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E60" w:rsidRPr="00A13910" w:rsidRDefault="00510613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910">
        <w:rPr>
          <w:rFonts w:ascii="Times New Roman" w:hAnsi="Times New Roman" w:cs="Times New Roman"/>
          <w:b/>
          <w:sz w:val="24"/>
          <w:szCs w:val="24"/>
        </w:rPr>
        <w:t>П</w:t>
      </w:r>
      <w:r w:rsidR="00683E60" w:rsidRPr="00A13910">
        <w:rPr>
          <w:rFonts w:ascii="Times New Roman" w:hAnsi="Times New Roman" w:cs="Times New Roman"/>
          <w:b/>
          <w:sz w:val="24"/>
          <w:szCs w:val="24"/>
        </w:rPr>
        <w:t>редложения</w:t>
      </w:r>
    </w:p>
    <w:p w:rsidR="007D16A1" w:rsidRPr="00B370FB" w:rsidRDefault="003077B9" w:rsidP="00B370F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0FB">
        <w:rPr>
          <w:rFonts w:ascii="Times New Roman" w:hAnsi="Times New Roman" w:cs="Times New Roman"/>
          <w:sz w:val="24"/>
          <w:szCs w:val="24"/>
        </w:rPr>
        <w:t xml:space="preserve">Контрольно-ревизионная комиссия муниципального образования «Вяземский район» Смоленской области </w:t>
      </w:r>
      <w:r w:rsidRPr="00B370FB">
        <w:rPr>
          <w:rFonts w:ascii="Times New Roman" w:hAnsi="Times New Roman" w:cs="Times New Roman"/>
          <w:i/>
          <w:sz w:val="24"/>
          <w:szCs w:val="24"/>
        </w:rPr>
        <w:t xml:space="preserve">рекомендует </w:t>
      </w:r>
      <w:r w:rsidRPr="00B370FB">
        <w:rPr>
          <w:rFonts w:ascii="Times New Roman" w:hAnsi="Times New Roman" w:cs="Times New Roman"/>
          <w:sz w:val="24"/>
          <w:szCs w:val="24"/>
        </w:rPr>
        <w:t xml:space="preserve">Совету депутатов Вяземского городского поселения </w:t>
      </w:r>
      <w:r w:rsidR="007D16A1" w:rsidRPr="00B370FB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Pr="00B370FB">
        <w:rPr>
          <w:rFonts w:ascii="Times New Roman" w:hAnsi="Times New Roman" w:cs="Times New Roman"/>
          <w:sz w:val="24"/>
          <w:szCs w:val="24"/>
        </w:rPr>
        <w:t xml:space="preserve">принять к рассмотрению проект предоставленного решения о внесении изменений в </w:t>
      </w:r>
      <w:r w:rsidR="006F3646" w:rsidRPr="00B370FB">
        <w:rPr>
          <w:rFonts w:ascii="Times New Roman" w:hAnsi="Times New Roman" w:cs="Times New Roman"/>
          <w:sz w:val="24"/>
          <w:szCs w:val="24"/>
        </w:rPr>
        <w:t xml:space="preserve">решение о бюджете </w:t>
      </w:r>
      <w:r w:rsidRPr="00B370FB">
        <w:rPr>
          <w:rFonts w:ascii="Times New Roman" w:hAnsi="Times New Roman" w:cs="Times New Roman"/>
          <w:sz w:val="24"/>
          <w:szCs w:val="24"/>
        </w:rPr>
        <w:t xml:space="preserve">на </w:t>
      </w:r>
      <w:r w:rsidRPr="00B370FB">
        <w:rPr>
          <w:rFonts w:ascii="Times New Roman" w:hAnsi="Times New Roman" w:cs="Times New Roman"/>
          <w:b/>
          <w:sz w:val="24"/>
          <w:szCs w:val="24"/>
        </w:rPr>
        <w:t>202</w:t>
      </w:r>
      <w:r w:rsidR="00E66884" w:rsidRPr="00B370FB">
        <w:rPr>
          <w:rFonts w:ascii="Times New Roman" w:hAnsi="Times New Roman" w:cs="Times New Roman"/>
          <w:b/>
          <w:sz w:val="24"/>
          <w:szCs w:val="24"/>
        </w:rPr>
        <w:t>3</w:t>
      </w:r>
      <w:r w:rsidR="006F3646" w:rsidRPr="00B370FB">
        <w:rPr>
          <w:rFonts w:ascii="Times New Roman" w:hAnsi="Times New Roman" w:cs="Times New Roman"/>
          <w:sz w:val="24"/>
          <w:szCs w:val="24"/>
        </w:rPr>
        <w:t xml:space="preserve"> год и плановый период </w:t>
      </w:r>
      <w:r w:rsidR="006F3646" w:rsidRPr="00B370FB">
        <w:rPr>
          <w:rFonts w:ascii="Times New Roman" w:hAnsi="Times New Roman" w:cs="Times New Roman"/>
          <w:b/>
          <w:sz w:val="24"/>
          <w:szCs w:val="24"/>
        </w:rPr>
        <w:t>202</w:t>
      </w:r>
      <w:r w:rsidR="00E66884" w:rsidRPr="00B370FB">
        <w:rPr>
          <w:rFonts w:ascii="Times New Roman" w:hAnsi="Times New Roman" w:cs="Times New Roman"/>
          <w:b/>
          <w:sz w:val="24"/>
          <w:szCs w:val="24"/>
        </w:rPr>
        <w:t>4</w:t>
      </w:r>
      <w:r w:rsidR="006F3646" w:rsidRPr="00B370FB">
        <w:rPr>
          <w:rFonts w:ascii="Times New Roman" w:hAnsi="Times New Roman" w:cs="Times New Roman"/>
          <w:sz w:val="24"/>
          <w:szCs w:val="24"/>
        </w:rPr>
        <w:t xml:space="preserve"> и </w:t>
      </w:r>
      <w:r w:rsidR="006F3646" w:rsidRPr="00B370FB">
        <w:rPr>
          <w:rFonts w:ascii="Times New Roman" w:hAnsi="Times New Roman" w:cs="Times New Roman"/>
          <w:b/>
          <w:sz w:val="24"/>
          <w:szCs w:val="24"/>
        </w:rPr>
        <w:t>202</w:t>
      </w:r>
      <w:r w:rsidR="00E66884" w:rsidRPr="00B370FB">
        <w:rPr>
          <w:rFonts w:ascii="Times New Roman" w:hAnsi="Times New Roman" w:cs="Times New Roman"/>
          <w:b/>
          <w:sz w:val="24"/>
          <w:szCs w:val="24"/>
        </w:rPr>
        <w:t>5</w:t>
      </w:r>
      <w:r w:rsidRPr="00B370F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486DB2" w:rsidRPr="00B370FB">
        <w:rPr>
          <w:rFonts w:ascii="Times New Roman" w:hAnsi="Times New Roman" w:cs="Times New Roman"/>
          <w:sz w:val="24"/>
          <w:szCs w:val="24"/>
        </w:rPr>
        <w:t>.</w:t>
      </w:r>
    </w:p>
    <w:p w:rsidR="00EA7F4F" w:rsidRDefault="00EA7F4F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F4F" w:rsidRDefault="00EA7F4F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69"/>
      </w:tblGrid>
      <w:tr w:rsidR="00F87A63" w:rsidRPr="00F87A63" w:rsidTr="009D6B7A">
        <w:tc>
          <w:tcPr>
            <w:tcW w:w="4685" w:type="dxa"/>
          </w:tcPr>
          <w:p w:rsidR="00F87A63" w:rsidRPr="00F87A63" w:rsidRDefault="00F87A63" w:rsidP="00F87A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63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Контрольно-ревизионной</w:t>
            </w:r>
          </w:p>
          <w:p w:rsidR="00F87A63" w:rsidRPr="00F87A63" w:rsidRDefault="00F87A63" w:rsidP="00F87A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63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F87A63" w:rsidRPr="00F87A63" w:rsidRDefault="00F87A63" w:rsidP="00F87A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63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69" w:type="dxa"/>
          </w:tcPr>
          <w:p w:rsidR="00F87A63" w:rsidRPr="00F87A63" w:rsidRDefault="00F87A63" w:rsidP="00D266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A63" w:rsidRDefault="00F87A63" w:rsidP="00D266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A63" w:rsidRPr="00F87A63" w:rsidRDefault="00F87A63" w:rsidP="00F87A6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9D6B7A" w:rsidRDefault="009D6B7A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9D6B7A" w:rsidSect="00CB40D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5B621D" w:rsidRDefault="005B621D" w:rsidP="009D6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B621D" w:rsidSect="005B621D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138" w:rsidRDefault="00A40138" w:rsidP="00482AB3">
      <w:r>
        <w:separator/>
      </w:r>
    </w:p>
  </w:endnote>
  <w:endnote w:type="continuationSeparator" w:id="0">
    <w:p w:rsidR="00A40138" w:rsidRDefault="00A40138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4821021"/>
      <w:docPartObj>
        <w:docPartGallery w:val="Page Numbers (Bottom of Page)"/>
        <w:docPartUnique/>
      </w:docPartObj>
    </w:sdtPr>
    <w:sdtContent>
      <w:p w:rsidR="00A40138" w:rsidRDefault="00A40138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0138" w:rsidRDefault="00A4013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138" w:rsidRDefault="00A40138" w:rsidP="00482AB3">
      <w:r>
        <w:separator/>
      </w:r>
    </w:p>
  </w:footnote>
  <w:footnote w:type="continuationSeparator" w:id="0">
    <w:p w:rsidR="00A40138" w:rsidRDefault="00A40138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0609"/>
    <w:multiLevelType w:val="hybridMultilevel"/>
    <w:tmpl w:val="D2AC92C0"/>
    <w:lvl w:ilvl="0" w:tplc="5112B86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87432D"/>
    <w:multiLevelType w:val="hybridMultilevel"/>
    <w:tmpl w:val="0E44964C"/>
    <w:lvl w:ilvl="0" w:tplc="5112B86E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0C746673"/>
    <w:multiLevelType w:val="hybridMultilevel"/>
    <w:tmpl w:val="0FF8E69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48B6"/>
    <w:multiLevelType w:val="hybridMultilevel"/>
    <w:tmpl w:val="79C0211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A6A47"/>
    <w:multiLevelType w:val="hybridMultilevel"/>
    <w:tmpl w:val="0A9A1C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05C7F"/>
    <w:multiLevelType w:val="hybridMultilevel"/>
    <w:tmpl w:val="A15CB15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940FC"/>
    <w:multiLevelType w:val="hybridMultilevel"/>
    <w:tmpl w:val="CE1C91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1C3A202F"/>
    <w:multiLevelType w:val="hybridMultilevel"/>
    <w:tmpl w:val="B67E9DCA"/>
    <w:lvl w:ilvl="0" w:tplc="83560D1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2C0E7C"/>
    <w:multiLevelType w:val="hybridMultilevel"/>
    <w:tmpl w:val="A6EAD8C6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36F88"/>
    <w:multiLevelType w:val="hybridMultilevel"/>
    <w:tmpl w:val="05F87944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8F324BB"/>
    <w:multiLevelType w:val="hybridMultilevel"/>
    <w:tmpl w:val="AF887FAA"/>
    <w:lvl w:ilvl="0" w:tplc="5112B86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F175466"/>
    <w:multiLevelType w:val="hybridMultilevel"/>
    <w:tmpl w:val="1DD83046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4F2AAB"/>
    <w:multiLevelType w:val="hybridMultilevel"/>
    <w:tmpl w:val="2870C69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D64BD"/>
    <w:multiLevelType w:val="hybridMultilevel"/>
    <w:tmpl w:val="CF4E85E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C863AB"/>
    <w:multiLevelType w:val="hybridMultilevel"/>
    <w:tmpl w:val="D7EE72AE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62995"/>
    <w:multiLevelType w:val="hybridMultilevel"/>
    <w:tmpl w:val="5EF41490"/>
    <w:lvl w:ilvl="0" w:tplc="7AD82A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651E4"/>
    <w:multiLevelType w:val="hybridMultilevel"/>
    <w:tmpl w:val="0DE80414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3D733E7"/>
    <w:multiLevelType w:val="hybridMultilevel"/>
    <w:tmpl w:val="C13A647A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4004E"/>
    <w:multiLevelType w:val="hybridMultilevel"/>
    <w:tmpl w:val="D3E815CC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021C8"/>
    <w:multiLevelType w:val="hybridMultilevel"/>
    <w:tmpl w:val="5E787C2E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16E55"/>
    <w:multiLevelType w:val="hybridMultilevel"/>
    <w:tmpl w:val="0258235A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E71DF"/>
    <w:multiLevelType w:val="hybridMultilevel"/>
    <w:tmpl w:val="990E2F36"/>
    <w:lvl w:ilvl="0" w:tplc="83560D1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E675BB8"/>
    <w:multiLevelType w:val="hybridMultilevel"/>
    <w:tmpl w:val="FAD44900"/>
    <w:lvl w:ilvl="0" w:tplc="5112B86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EBE7296"/>
    <w:multiLevelType w:val="hybridMultilevel"/>
    <w:tmpl w:val="FB4A052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2330E46"/>
    <w:multiLevelType w:val="hybridMultilevel"/>
    <w:tmpl w:val="A0E296A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25133"/>
    <w:multiLevelType w:val="hybridMultilevel"/>
    <w:tmpl w:val="A350BA2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23C83"/>
    <w:multiLevelType w:val="hybridMultilevel"/>
    <w:tmpl w:val="7A208FD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8" w15:restartNumberingAfterBreak="0">
    <w:nsid w:val="6BCE79D9"/>
    <w:multiLevelType w:val="hybridMultilevel"/>
    <w:tmpl w:val="77C08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23B0051"/>
    <w:multiLevelType w:val="hybridMultilevel"/>
    <w:tmpl w:val="B7A4907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E76239"/>
    <w:multiLevelType w:val="hybridMultilevel"/>
    <w:tmpl w:val="E7985C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902F9"/>
    <w:multiLevelType w:val="hybridMultilevel"/>
    <w:tmpl w:val="2836ED94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21134"/>
    <w:multiLevelType w:val="hybridMultilevel"/>
    <w:tmpl w:val="4AE82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D1CFC"/>
    <w:multiLevelType w:val="hybridMultilevel"/>
    <w:tmpl w:val="2F30BD92"/>
    <w:lvl w:ilvl="0" w:tplc="5112B8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A11CB"/>
    <w:multiLevelType w:val="hybridMultilevel"/>
    <w:tmpl w:val="ABFA3198"/>
    <w:lvl w:ilvl="0" w:tplc="5112B8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37"/>
  </w:num>
  <w:num w:numId="5">
    <w:abstractNumId w:val="45"/>
  </w:num>
  <w:num w:numId="6">
    <w:abstractNumId w:val="13"/>
  </w:num>
  <w:num w:numId="7">
    <w:abstractNumId w:val="16"/>
  </w:num>
  <w:num w:numId="8">
    <w:abstractNumId w:val="31"/>
  </w:num>
  <w:num w:numId="9">
    <w:abstractNumId w:val="20"/>
  </w:num>
  <w:num w:numId="10">
    <w:abstractNumId w:val="39"/>
  </w:num>
  <w:num w:numId="11">
    <w:abstractNumId w:val="14"/>
  </w:num>
  <w:num w:numId="12">
    <w:abstractNumId w:val="29"/>
  </w:num>
  <w:num w:numId="13">
    <w:abstractNumId w:val="26"/>
  </w:num>
  <w:num w:numId="14">
    <w:abstractNumId w:val="19"/>
  </w:num>
  <w:num w:numId="15">
    <w:abstractNumId w:val="24"/>
  </w:num>
  <w:num w:numId="16">
    <w:abstractNumId w:val="4"/>
  </w:num>
  <w:num w:numId="17">
    <w:abstractNumId w:val="5"/>
  </w:num>
  <w:num w:numId="18">
    <w:abstractNumId w:val="35"/>
  </w:num>
  <w:num w:numId="19">
    <w:abstractNumId w:val="25"/>
  </w:num>
  <w:num w:numId="20">
    <w:abstractNumId w:val="33"/>
  </w:num>
  <w:num w:numId="21">
    <w:abstractNumId w:val="3"/>
  </w:num>
  <w:num w:numId="22">
    <w:abstractNumId w:val="46"/>
  </w:num>
  <w:num w:numId="23">
    <w:abstractNumId w:val="28"/>
  </w:num>
  <w:num w:numId="24">
    <w:abstractNumId w:val="9"/>
  </w:num>
  <w:num w:numId="25">
    <w:abstractNumId w:val="17"/>
  </w:num>
  <w:num w:numId="26">
    <w:abstractNumId w:val="40"/>
  </w:num>
  <w:num w:numId="27">
    <w:abstractNumId w:val="2"/>
  </w:num>
  <w:num w:numId="28">
    <w:abstractNumId w:val="0"/>
  </w:num>
  <w:num w:numId="29">
    <w:abstractNumId w:val="42"/>
  </w:num>
  <w:num w:numId="30">
    <w:abstractNumId w:val="10"/>
  </w:num>
  <w:num w:numId="31">
    <w:abstractNumId w:val="32"/>
  </w:num>
  <w:num w:numId="32">
    <w:abstractNumId w:val="22"/>
  </w:num>
  <w:num w:numId="33">
    <w:abstractNumId w:val="38"/>
  </w:num>
  <w:num w:numId="34">
    <w:abstractNumId w:val="7"/>
  </w:num>
  <w:num w:numId="35">
    <w:abstractNumId w:val="21"/>
  </w:num>
  <w:num w:numId="36">
    <w:abstractNumId w:val="36"/>
  </w:num>
  <w:num w:numId="37">
    <w:abstractNumId w:val="23"/>
  </w:num>
  <w:num w:numId="38">
    <w:abstractNumId w:val="18"/>
  </w:num>
  <w:num w:numId="39">
    <w:abstractNumId w:val="43"/>
  </w:num>
  <w:num w:numId="40">
    <w:abstractNumId w:val="11"/>
  </w:num>
  <w:num w:numId="41">
    <w:abstractNumId w:val="12"/>
  </w:num>
  <w:num w:numId="42">
    <w:abstractNumId w:val="44"/>
  </w:num>
  <w:num w:numId="43">
    <w:abstractNumId w:val="1"/>
  </w:num>
  <w:num w:numId="44">
    <w:abstractNumId w:val="27"/>
  </w:num>
  <w:num w:numId="45">
    <w:abstractNumId w:val="30"/>
  </w:num>
  <w:num w:numId="46">
    <w:abstractNumId w:val="34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E4C"/>
    <w:rsid w:val="00017345"/>
    <w:rsid w:val="00017596"/>
    <w:rsid w:val="00021644"/>
    <w:rsid w:val="0002182A"/>
    <w:rsid w:val="0002214D"/>
    <w:rsid w:val="00022467"/>
    <w:rsid w:val="00024B85"/>
    <w:rsid w:val="00030226"/>
    <w:rsid w:val="000309FF"/>
    <w:rsid w:val="0003171C"/>
    <w:rsid w:val="000317DE"/>
    <w:rsid w:val="00032B1B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5CCF"/>
    <w:rsid w:val="00047580"/>
    <w:rsid w:val="00050625"/>
    <w:rsid w:val="000509B1"/>
    <w:rsid w:val="000509EA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26BA"/>
    <w:rsid w:val="000628B9"/>
    <w:rsid w:val="00063292"/>
    <w:rsid w:val="000639B1"/>
    <w:rsid w:val="00063C78"/>
    <w:rsid w:val="00064C45"/>
    <w:rsid w:val="00065C23"/>
    <w:rsid w:val="00070B7D"/>
    <w:rsid w:val="00070E22"/>
    <w:rsid w:val="00072061"/>
    <w:rsid w:val="0007225E"/>
    <w:rsid w:val="000726FA"/>
    <w:rsid w:val="00073A62"/>
    <w:rsid w:val="00073F79"/>
    <w:rsid w:val="0007431A"/>
    <w:rsid w:val="000747AD"/>
    <w:rsid w:val="000749E2"/>
    <w:rsid w:val="00074CE5"/>
    <w:rsid w:val="00076C28"/>
    <w:rsid w:val="000775A0"/>
    <w:rsid w:val="00077B6E"/>
    <w:rsid w:val="000813A3"/>
    <w:rsid w:val="0008205A"/>
    <w:rsid w:val="00083379"/>
    <w:rsid w:val="00083F86"/>
    <w:rsid w:val="00084342"/>
    <w:rsid w:val="000865AC"/>
    <w:rsid w:val="000879E7"/>
    <w:rsid w:val="00087C81"/>
    <w:rsid w:val="00090070"/>
    <w:rsid w:val="00093518"/>
    <w:rsid w:val="0009631E"/>
    <w:rsid w:val="00096F15"/>
    <w:rsid w:val="00097857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C1099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3F0D"/>
    <w:rsid w:val="000E48CD"/>
    <w:rsid w:val="000E4D3E"/>
    <w:rsid w:val="000E5BF3"/>
    <w:rsid w:val="000F0675"/>
    <w:rsid w:val="000F30B9"/>
    <w:rsid w:val="000F3FA1"/>
    <w:rsid w:val="000F4703"/>
    <w:rsid w:val="000F5295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65FF"/>
    <w:rsid w:val="00116C6C"/>
    <w:rsid w:val="0011758C"/>
    <w:rsid w:val="00117A65"/>
    <w:rsid w:val="00123964"/>
    <w:rsid w:val="00123C00"/>
    <w:rsid w:val="00123FB1"/>
    <w:rsid w:val="001254B9"/>
    <w:rsid w:val="00126F8D"/>
    <w:rsid w:val="0012729B"/>
    <w:rsid w:val="001275ED"/>
    <w:rsid w:val="0013008D"/>
    <w:rsid w:val="001304B0"/>
    <w:rsid w:val="0013155A"/>
    <w:rsid w:val="00131562"/>
    <w:rsid w:val="00133522"/>
    <w:rsid w:val="0013386C"/>
    <w:rsid w:val="00133A18"/>
    <w:rsid w:val="00135AF0"/>
    <w:rsid w:val="00136F14"/>
    <w:rsid w:val="00137EB7"/>
    <w:rsid w:val="00140565"/>
    <w:rsid w:val="00141236"/>
    <w:rsid w:val="001417DF"/>
    <w:rsid w:val="00141948"/>
    <w:rsid w:val="00142331"/>
    <w:rsid w:val="001450B4"/>
    <w:rsid w:val="00146DD3"/>
    <w:rsid w:val="001470B3"/>
    <w:rsid w:val="00147315"/>
    <w:rsid w:val="00147854"/>
    <w:rsid w:val="00150156"/>
    <w:rsid w:val="00152FA7"/>
    <w:rsid w:val="001551F3"/>
    <w:rsid w:val="00156E20"/>
    <w:rsid w:val="001575B2"/>
    <w:rsid w:val="00161CE5"/>
    <w:rsid w:val="0016201D"/>
    <w:rsid w:val="00162CE0"/>
    <w:rsid w:val="0016382C"/>
    <w:rsid w:val="00164767"/>
    <w:rsid w:val="00166353"/>
    <w:rsid w:val="0016698B"/>
    <w:rsid w:val="00166A8A"/>
    <w:rsid w:val="00170B5D"/>
    <w:rsid w:val="001715FA"/>
    <w:rsid w:val="0017209C"/>
    <w:rsid w:val="00172374"/>
    <w:rsid w:val="001729BF"/>
    <w:rsid w:val="00172DCA"/>
    <w:rsid w:val="00174E03"/>
    <w:rsid w:val="00175832"/>
    <w:rsid w:val="00175A45"/>
    <w:rsid w:val="00176852"/>
    <w:rsid w:val="00180C81"/>
    <w:rsid w:val="00180D11"/>
    <w:rsid w:val="00181700"/>
    <w:rsid w:val="001832EC"/>
    <w:rsid w:val="00183EF6"/>
    <w:rsid w:val="001875DF"/>
    <w:rsid w:val="001939CA"/>
    <w:rsid w:val="00193EDB"/>
    <w:rsid w:val="00196283"/>
    <w:rsid w:val="0019689B"/>
    <w:rsid w:val="0019781F"/>
    <w:rsid w:val="00197DE2"/>
    <w:rsid w:val="001A219F"/>
    <w:rsid w:val="001A3BA0"/>
    <w:rsid w:val="001A4663"/>
    <w:rsid w:val="001A4BE9"/>
    <w:rsid w:val="001A73CA"/>
    <w:rsid w:val="001A7474"/>
    <w:rsid w:val="001B0498"/>
    <w:rsid w:val="001B2F39"/>
    <w:rsid w:val="001B300A"/>
    <w:rsid w:val="001B3840"/>
    <w:rsid w:val="001B3973"/>
    <w:rsid w:val="001B4FEE"/>
    <w:rsid w:val="001B5851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56B4"/>
    <w:rsid w:val="001D679A"/>
    <w:rsid w:val="001D6A64"/>
    <w:rsid w:val="001D7C3C"/>
    <w:rsid w:val="001E1317"/>
    <w:rsid w:val="001E1591"/>
    <w:rsid w:val="001E1E50"/>
    <w:rsid w:val="001E1EA3"/>
    <w:rsid w:val="001E331C"/>
    <w:rsid w:val="001E3E1E"/>
    <w:rsid w:val="001E574A"/>
    <w:rsid w:val="001E6928"/>
    <w:rsid w:val="001E7A7A"/>
    <w:rsid w:val="001F118D"/>
    <w:rsid w:val="001F2626"/>
    <w:rsid w:val="001F349E"/>
    <w:rsid w:val="001F4346"/>
    <w:rsid w:val="001F47DD"/>
    <w:rsid w:val="001F4A65"/>
    <w:rsid w:val="001F6767"/>
    <w:rsid w:val="002012CB"/>
    <w:rsid w:val="00201FC0"/>
    <w:rsid w:val="00202E32"/>
    <w:rsid w:val="00206FE6"/>
    <w:rsid w:val="00207EAE"/>
    <w:rsid w:val="00211591"/>
    <w:rsid w:val="00211720"/>
    <w:rsid w:val="00212BC9"/>
    <w:rsid w:val="00212FC7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0ED2"/>
    <w:rsid w:val="002311D7"/>
    <w:rsid w:val="002320D6"/>
    <w:rsid w:val="002322C1"/>
    <w:rsid w:val="00232443"/>
    <w:rsid w:val="00233C92"/>
    <w:rsid w:val="00234501"/>
    <w:rsid w:val="0023461B"/>
    <w:rsid w:val="0023608E"/>
    <w:rsid w:val="0023698B"/>
    <w:rsid w:val="002421FB"/>
    <w:rsid w:val="002441F5"/>
    <w:rsid w:val="00245155"/>
    <w:rsid w:val="0024596C"/>
    <w:rsid w:val="00246BA5"/>
    <w:rsid w:val="00246F28"/>
    <w:rsid w:val="0024786F"/>
    <w:rsid w:val="00247917"/>
    <w:rsid w:val="00251676"/>
    <w:rsid w:val="00251677"/>
    <w:rsid w:val="002521B3"/>
    <w:rsid w:val="00253698"/>
    <w:rsid w:val="00254AFB"/>
    <w:rsid w:val="00254DB7"/>
    <w:rsid w:val="0026137A"/>
    <w:rsid w:val="002621D6"/>
    <w:rsid w:val="00264CCD"/>
    <w:rsid w:val="00264E30"/>
    <w:rsid w:val="00265A27"/>
    <w:rsid w:val="00267111"/>
    <w:rsid w:val="00267CF1"/>
    <w:rsid w:val="0027081F"/>
    <w:rsid w:val="00271254"/>
    <w:rsid w:val="0027227E"/>
    <w:rsid w:val="002723D7"/>
    <w:rsid w:val="00272887"/>
    <w:rsid w:val="00274462"/>
    <w:rsid w:val="00275EE1"/>
    <w:rsid w:val="00276F4B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50D"/>
    <w:rsid w:val="00285F7B"/>
    <w:rsid w:val="00286167"/>
    <w:rsid w:val="00287A78"/>
    <w:rsid w:val="00290150"/>
    <w:rsid w:val="00291BA5"/>
    <w:rsid w:val="00291D0D"/>
    <w:rsid w:val="00293AC6"/>
    <w:rsid w:val="00294434"/>
    <w:rsid w:val="00295F44"/>
    <w:rsid w:val="002971A6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511D"/>
    <w:rsid w:val="002C6188"/>
    <w:rsid w:val="002C625E"/>
    <w:rsid w:val="002C7E45"/>
    <w:rsid w:val="002D0875"/>
    <w:rsid w:val="002D0E07"/>
    <w:rsid w:val="002D14F1"/>
    <w:rsid w:val="002D1A91"/>
    <w:rsid w:val="002D491B"/>
    <w:rsid w:val="002D4A26"/>
    <w:rsid w:val="002D60A7"/>
    <w:rsid w:val="002D61F1"/>
    <w:rsid w:val="002D6919"/>
    <w:rsid w:val="002E003D"/>
    <w:rsid w:val="002E0658"/>
    <w:rsid w:val="002E0D09"/>
    <w:rsid w:val="002E0EF0"/>
    <w:rsid w:val="002E1E55"/>
    <w:rsid w:val="002E1F24"/>
    <w:rsid w:val="002E1F46"/>
    <w:rsid w:val="002E5B23"/>
    <w:rsid w:val="002E6FFD"/>
    <w:rsid w:val="002F007D"/>
    <w:rsid w:val="002F0D57"/>
    <w:rsid w:val="002F1797"/>
    <w:rsid w:val="002F2ECA"/>
    <w:rsid w:val="002F33FA"/>
    <w:rsid w:val="002F3455"/>
    <w:rsid w:val="002F3DAB"/>
    <w:rsid w:val="002F5718"/>
    <w:rsid w:val="002F6DDF"/>
    <w:rsid w:val="002F70DE"/>
    <w:rsid w:val="00300F78"/>
    <w:rsid w:val="003071D4"/>
    <w:rsid w:val="003077B9"/>
    <w:rsid w:val="00310E05"/>
    <w:rsid w:val="003169F0"/>
    <w:rsid w:val="0031732C"/>
    <w:rsid w:val="00317CD2"/>
    <w:rsid w:val="00320386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30A4"/>
    <w:rsid w:val="00334297"/>
    <w:rsid w:val="003342C9"/>
    <w:rsid w:val="00335817"/>
    <w:rsid w:val="00335F52"/>
    <w:rsid w:val="003372CA"/>
    <w:rsid w:val="003374F7"/>
    <w:rsid w:val="00337977"/>
    <w:rsid w:val="003414A2"/>
    <w:rsid w:val="00341783"/>
    <w:rsid w:val="00341C0E"/>
    <w:rsid w:val="00342142"/>
    <w:rsid w:val="003438CE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0A2D"/>
    <w:rsid w:val="003518AF"/>
    <w:rsid w:val="0035221B"/>
    <w:rsid w:val="0035314A"/>
    <w:rsid w:val="00360226"/>
    <w:rsid w:val="003603CB"/>
    <w:rsid w:val="00362471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63E1"/>
    <w:rsid w:val="00386BB9"/>
    <w:rsid w:val="0038717B"/>
    <w:rsid w:val="0038771A"/>
    <w:rsid w:val="00387D58"/>
    <w:rsid w:val="003911EB"/>
    <w:rsid w:val="00392DFA"/>
    <w:rsid w:val="003933CB"/>
    <w:rsid w:val="003939CA"/>
    <w:rsid w:val="0039500D"/>
    <w:rsid w:val="003962E2"/>
    <w:rsid w:val="00396454"/>
    <w:rsid w:val="0039684A"/>
    <w:rsid w:val="0039771A"/>
    <w:rsid w:val="00397D0D"/>
    <w:rsid w:val="003A0173"/>
    <w:rsid w:val="003A0DEA"/>
    <w:rsid w:val="003A228B"/>
    <w:rsid w:val="003A2800"/>
    <w:rsid w:val="003A3AA5"/>
    <w:rsid w:val="003A431E"/>
    <w:rsid w:val="003A4EE9"/>
    <w:rsid w:val="003A59E5"/>
    <w:rsid w:val="003A5E71"/>
    <w:rsid w:val="003A6691"/>
    <w:rsid w:val="003A67A6"/>
    <w:rsid w:val="003B04F9"/>
    <w:rsid w:val="003B1E87"/>
    <w:rsid w:val="003B2C40"/>
    <w:rsid w:val="003B2CBD"/>
    <w:rsid w:val="003B30AB"/>
    <w:rsid w:val="003B3D68"/>
    <w:rsid w:val="003B4849"/>
    <w:rsid w:val="003B494A"/>
    <w:rsid w:val="003B6A14"/>
    <w:rsid w:val="003B6B5E"/>
    <w:rsid w:val="003B748C"/>
    <w:rsid w:val="003C203E"/>
    <w:rsid w:val="003C21AE"/>
    <w:rsid w:val="003C63F6"/>
    <w:rsid w:val="003D0FF6"/>
    <w:rsid w:val="003D14BC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4865"/>
    <w:rsid w:val="003F6447"/>
    <w:rsid w:val="003F6F14"/>
    <w:rsid w:val="003F7719"/>
    <w:rsid w:val="003F7E14"/>
    <w:rsid w:val="00400349"/>
    <w:rsid w:val="004003A1"/>
    <w:rsid w:val="00401622"/>
    <w:rsid w:val="00402F70"/>
    <w:rsid w:val="00405A58"/>
    <w:rsid w:val="00406769"/>
    <w:rsid w:val="00406AB7"/>
    <w:rsid w:val="00407CCF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37CE0"/>
    <w:rsid w:val="00440544"/>
    <w:rsid w:val="00442076"/>
    <w:rsid w:val="00442D55"/>
    <w:rsid w:val="00443933"/>
    <w:rsid w:val="004446A8"/>
    <w:rsid w:val="00445062"/>
    <w:rsid w:val="00445F22"/>
    <w:rsid w:val="004465A1"/>
    <w:rsid w:val="00446AD0"/>
    <w:rsid w:val="00447A37"/>
    <w:rsid w:val="004503B4"/>
    <w:rsid w:val="004504E7"/>
    <w:rsid w:val="00450636"/>
    <w:rsid w:val="004506F2"/>
    <w:rsid w:val="00452353"/>
    <w:rsid w:val="00452B64"/>
    <w:rsid w:val="0045328E"/>
    <w:rsid w:val="0045538E"/>
    <w:rsid w:val="00456A01"/>
    <w:rsid w:val="00456B0C"/>
    <w:rsid w:val="00457EA3"/>
    <w:rsid w:val="00465DA6"/>
    <w:rsid w:val="00465F4D"/>
    <w:rsid w:val="00466C1C"/>
    <w:rsid w:val="0047588F"/>
    <w:rsid w:val="00476535"/>
    <w:rsid w:val="00477C92"/>
    <w:rsid w:val="0048103E"/>
    <w:rsid w:val="0048185B"/>
    <w:rsid w:val="00481953"/>
    <w:rsid w:val="00481B5C"/>
    <w:rsid w:val="00482AB3"/>
    <w:rsid w:val="00482CDC"/>
    <w:rsid w:val="00484422"/>
    <w:rsid w:val="00485B3A"/>
    <w:rsid w:val="00486DB2"/>
    <w:rsid w:val="00487E76"/>
    <w:rsid w:val="004902D2"/>
    <w:rsid w:val="004924FF"/>
    <w:rsid w:val="0049316E"/>
    <w:rsid w:val="00496CFB"/>
    <w:rsid w:val="004A0295"/>
    <w:rsid w:val="004A0A91"/>
    <w:rsid w:val="004A17CB"/>
    <w:rsid w:val="004A21BE"/>
    <w:rsid w:val="004A30A4"/>
    <w:rsid w:val="004A57D1"/>
    <w:rsid w:val="004A66A1"/>
    <w:rsid w:val="004A6F1E"/>
    <w:rsid w:val="004A7C12"/>
    <w:rsid w:val="004B0E36"/>
    <w:rsid w:val="004B1EF7"/>
    <w:rsid w:val="004B1FAA"/>
    <w:rsid w:val="004B24FE"/>
    <w:rsid w:val="004B259B"/>
    <w:rsid w:val="004B2DE1"/>
    <w:rsid w:val="004B4756"/>
    <w:rsid w:val="004B4D85"/>
    <w:rsid w:val="004B706E"/>
    <w:rsid w:val="004B7233"/>
    <w:rsid w:val="004B73D4"/>
    <w:rsid w:val="004C2E2B"/>
    <w:rsid w:val="004C31DC"/>
    <w:rsid w:val="004C3FF5"/>
    <w:rsid w:val="004C4A46"/>
    <w:rsid w:val="004C4D3E"/>
    <w:rsid w:val="004C5009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1D77"/>
    <w:rsid w:val="004E1E97"/>
    <w:rsid w:val="004E3AE8"/>
    <w:rsid w:val="004E4061"/>
    <w:rsid w:val="004E48DF"/>
    <w:rsid w:val="004E5C15"/>
    <w:rsid w:val="004E7585"/>
    <w:rsid w:val="004F2D8C"/>
    <w:rsid w:val="004F3681"/>
    <w:rsid w:val="004F4656"/>
    <w:rsid w:val="004F60C1"/>
    <w:rsid w:val="004F6559"/>
    <w:rsid w:val="005018A2"/>
    <w:rsid w:val="00501B2B"/>
    <w:rsid w:val="00503847"/>
    <w:rsid w:val="00504F1E"/>
    <w:rsid w:val="00506439"/>
    <w:rsid w:val="0050652B"/>
    <w:rsid w:val="005101D9"/>
    <w:rsid w:val="00510613"/>
    <w:rsid w:val="00513D93"/>
    <w:rsid w:val="00514A3B"/>
    <w:rsid w:val="00514C1F"/>
    <w:rsid w:val="00514D78"/>
    <w:rsid w:val="0051685D"/>
    <w:rsid w:val="00517C9C"/>
    <w:rsid w:val="00520B20"/>
    <w:rsid w:val="005221C2"/>
    <w:rsid w:val="00522950"/>
    <w:rsid w:val="00522F88"/>
    <w:rsid w:val="005247F6"/>
    <w:rsid w:val="005248C3"/>
    <w:rsid w:val="00525FC9"/>
    <w:rsid w:val="005327D6"/>
    <w:rsid w:val="0053398E"/>
    <w:rsid w:val="00533CB2"/>
    <w:rsid w:val="00534838"/>
    <w:rsid w:val="0053554C"/>
    <w:rsid w:val="0053571C"/>
    <w:rsid w:val="00535B55"/>
    <w:rsid w:val="00537E42"/>
    <w:rsid w:val="00540C84"/>
    <w:rsid w:val="0054380B"/>
    <w:rsid w:val="0054383D"/>
    <w:rsid w:val="00543F4B"/>
    <w:rsid w:val="00545595"/>
    <w:rsid w:val="00545F4A"/>
    <w:rsid w:val="00546ABA"/>
    <w:rsid w:val="0054758A"/>
    <w:rsid w:val="00547CA4"/>
    <w:rsid w:val="00550C27"/>
    <w:rsid w:val="005520A6"/>
    <w:rsid w:val="0055236B"/>
    <w:rsid w:val="00552BEA"/>
    <w:rsid w:val="00554850"/>
    <w:rsid w:val="00554A90"/>
    <w:rsid w:val="005557BF"/>
    <w:rsid w:val="00555F80"/>
    <w:rsid w:val="005570BD"/>
    <w:rsid w:val="00560DD8"/>
    <w:rsid w:val="00562709"/>
    <w:rsid w:val="005636A0"/>
    <w:rsid w:val="00564490"/>
    <w:rsid w:val="0056473D"/>
    <w:rsid w:val="0056745F"/>
    <w:rsid w:val="00570923"/>
    <w:rsid w:val="00572BB3"/>
    <w:rsid w:val="00573483"/>
    <w:rsid w:val="005735DF"/>
    <w:rsid w:val="005741A9"/>
    <w:rsid w:val="00576A60"/>
    <w:rsid w:val="00576D0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65F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0699"/>
    <w:rsid w:val="005A59BD"/>
    <w:rsid w:val="005A5FBC"/>
    <w:rsid w:val="005A6029"/>
    <w:rsid w:val="005A641F"/>
    <w:rsid w:val="005A759D"/>
    <w:rsid w:val="005A7A9F"/>
    <w:rsid w:val="005B0120"/>
    <w:rsid w:val="005B1C59"/>
    <w:rsid w:val="005B3FC4"/>
    <w:rsid w:val="005B4CAF"/>
    <w:rsid w:val="005B621D"/>
    <w:rsid w:val="005B7102"/>
    <w:rsid w:val="005B7694"/>
    <w:rsid w:val="005C13B5"/>
    <w:rsid w:val="005C15C7"/>
    <w:rsid w:val="005C15E8"/>
    <w:rsid w:val="005C357E"/>
    <w:rsid w:val="005C45BE"/>
    <w:rsid w:val="005C5141"/>
    <w:rsid w:val="005C5E0D"/>
    <w:rsid w:val="005C6B28"/>
    <w:rsid w:val="005C7013"/>
    <w:rsid w:val="005D0392"/>
    <w:rsid w:val="005D1693"/>
    <w:rsid w:val="005D1782"/>
    <w:rsid w:val="005D2B7E"/>
    <w:rsid w:val="005D31D6"/>
    <w:rsid w:val="005D38EF"/>
    <w:rsid w:val="005D3B01"/>
    <w:rsid w:val="005D48E5"/>
    <w:rsid w:val="005D5A73"/>
    <w:rsid w:val="005D5E67"/>
    <w:rsid w:val="005D7150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7B3"/>
    <w:rsid w:val="005F3D32"/>
    <w:rsid w:val="005F6A61"/>
    <w:rsid w:val="006005EE"/>
    <w:rsid w:val="00601683"/>
    <w:rsid w:val="006017FE"/>
    <w:rsid w:val="0060369F"/>
    <w:rsid w:val="00603A86"/>
    <w:rsid w:val="00605C2A"/>
    <w:rsid w:val="00612628"/>
    <w:rsid w:val="00613C44"/>
    <w:rsid w:val="00613CDD"/>
    <w:rsid w:val="006143A5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33C"/>
    <w:rsid w:val="00634965"/>
    <w:rsid w:val="00635ACD"/>
    <w:rsid w:val="00636EA6"/>
    <w:rsid w:val="00637879"/>
    <w:rsid w:val="006379E6"/>
    <w:rsid w:val="00637C96"/>
    <w:rsid w:val="00637EA6"/>
    <w:rsid w:val="006433C5"/>
    <w:rsid w:val="0064474C"/>
    <w:rsid w:val="00645A8F"/>
    <w:rsid w:val="0064653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0CE"/>
    <w:rsid w:val="00662546"/>
    <w:rsid w:val="00663A8B"/>
    <w:rsid w:val="0066619D"/>
    <w:rsid w:val="00667E5C"/>
    <w:rsid w:val="00670130"/>
    <w:rsid w:val="00670533"/>
    <w:rsid w:val="006733A8"/>
    <w:rsid w:val="00674002"/>
    <w:rsid w:val="006747DA"/>
    <w:rsid w:val="00675729"/>
    <w:rsid w:val="0067783A"/>
    <w:rsid w:val="00677AD6"/>
    <w:rsid w:val="00677EB1"/>
    <w:rsid w:val="006803FC"/>
    <w:rsid w:val="00681E75"/>
    <w:rsid w:val="00683C5B"/>
    <w:rsid w:val="00683E60"/>
    <w:rsid w:val="00684106"/>
    <w:rsid w:val="00687079"/>
    <w:rsid w:val="006873E0"/>
    <w:rsid w:val="00687FF1"/>
    <w:rsid w:val="00691752"/>
    <w:rsid w:val="0069177D"/>
    <w:rsid w:val="0069212D"/>
    <w:rsid w:val="00692520"/>
    <w:rsid w:val="006947D8"/>
    <w:rsid w:val="006950CD"/>
    <w:rsid w:val="00696D1E"/>
    <w:rsid w:val="006972EA"/>
    <w:rsid w:val="006A10B8"/>
    <w:rsid w:val="006A1D5D"/>
    <w:rsid w:val="006A22B6"/>
    <w:rsid w:val="006A3EE3"/>
    <w:rsid w:val="006A50C9"/>
    <w:rsid w:val="006A5C72"/>
    <w:rsid w:val="006A5E26"/>
    <w:rsid w:val="006B015A"/>
    <w:rsid w:val="006B1610"/>
    <w:rsid w:val="006B1E45"/>
    <w:rsid w:val="006B1FCD"/>
    <w:rsid w:val="006B34B6"/>
    <w:rsid w:val="006B36CC"/>
    <w:rsid w:val="006B3C08"/>
    <w:rsid w:val="006B3E77"/>
    <w:rsid w:val="006B44E4"/>
    <w:rsid w:val="006B4DFE"/>
    <w:rsid w:val="006B4FF4"/>
    <w:rsid w:val="006C3AAC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D6B37"/>
    <w:rsid w:val="006D6D7F"/>
    <w:rsid w:val="006D76BF"/>
    <w:rsid w:val="006E02AD"/>
    <w:rsid w:val="006E17D4"/>
    <w:rsid w:val="006E2CAD"/>
    <w:rsid w:val="006E42CE"/>
    <w:rsid w:val="006E480A"/>
    <w:rsid w:val="006E65AA"/>
    <w:rsid w:val="006E6846"/>
    <w:rsid w:val="006E7165"/>
    <w:rsid w:val="006E758B"/>
    <w:rsid w:val="006E75AC"/>
    <w:rsid w:val="006F1538"/>
    <w:rsid w:val="006F3646"/>
    <w:rsid w:val="006F36B3"/>
    <w:rsid w:val="006F4F0D"/>
    <w:rsid w:val="006F51A2"/>
    <w:rsid w:val="006F7635"/>
    <w:rsid w:val="00700815"/>
    <w:rsid w:val="007008F9"/>
    <w:rsid w:val="007058B5"/>
    <w:rsid w:val="00705B79"/>
    <w:rsid w:val="00707FE7"/>
    <w:rsid w:val="00710780"/>
    <w:rsid w:val="007119F2"/>
    <w:rsid w:val="00711C17"/>
    <w:rsid w:val="00712793"/>
    <w:rsid w:val="00715476"/>
    <w:rsid w:val="0071575B"/>
    <w:rsid w:val="0071635C"/>
    <w:rsid w:val="007179AF"/>
    <w:rsid w:val="00717A60"/>
    <w:rsid w:val="00717D28"/>
    <w:rsid w:val="00721096"/>
    <w:rsid w:val="007210AF"/>
    <w:rsid w:val="00721CA2"/>
    <w:rsid w:val="007238B5"/>
    <w:rsid w:val="0072461D"/>
    <w:rsid w:val="00731192"/>
    <w:rsid w:val="00731571"/>
    <w:rsid w:val="0073222B"/>
    <w:rsid w:val="00732F64"/>
    <w:rsid w:val="00733148"/>
    <w:rsid w:val="0073469C"/>
    <w:rsid w:val="00734F3B"/>
    <w:rsid w:val="00736BB5"/>
    <w:rsid w:val="007370A9"/>
    <w:rsid w:val="00741124"/>
    <w:rsid w:val="007415DC"/>
    <w:rsid w:val="007426C1"/>
    <w:rsid w:val="00744B28"/>
    <w:rsid w:val="007457D1"/>
    <w:rsid w:val="0074611B"/>
    <w:rsid w:val="00746443"/>
    <w:rsid w:val="007473E9"/>
    <w:rsid w:val="00747F50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1BD5"/>
    <w:rsid w:val="007A1DD4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64BA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40D"/>
    <w:rsid w:val="007E0F2F"/>
    <w:rsid w:val="007E1E70"/>
    <w:rsid w:val="007E2F64"/>
    <w:rsid w:val="007E3969"/>
    <w:rsid w:val="007E3B80"/>
    <w:rsid w:val="007E530D"/>
    <w:rsid w:val="007E5BE3"/>
    <w:rsid w:val="007E5FD0"/>
    <w:rsid w:val="007E6858"/>
    <w:rsid w:val="007F09B3"/>
    <w:rsid w:val="007F1198"/>
    <w:rsid w:val="007F142B"/>
    <w:rsid w:val="007F5F5A"/>
    <w:rsid w:val="007F6404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1226"/>
    <w:rsid w:val="0081385E"/>
    <w:rsid w:val="008139F9"/>
    <w:rsid w:val="00813B62"/>
    <w:rsid w:val="00817266"/>
    <w:rsid w:val="00821A1B"/>
    <w:rsid w:val="0082244D"/>
    <w:rsid w:val="00824A2E"/>
    <w:rsid w:val="008329FA"/>
    <w:rsid w:val="00833063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4DAA"/>
    <w:rsid w:val="00845C2B"/>
    <w:rsid w:val="00845D5B"/>
    <w:rsid w:val="008504D6"/>
    <w:rsid w:val="00850785"/>
    <w:rsid w:val="00851341"/>
    <w:rsid w:val="00851665"/>
    <w:rsid w:val="0085239F"/>
    <w:rsid w:val="0085284F"/>
    <w:rsid w:val="00854204"/>
    <w:rsid w:val="008543BB"/>
    <w:rsid w:val="0085498E"/>
    <w:rsid w:val="008553DA"/>
    <w:rsid w:val="00855692"/>
    <w:rsid w:val="00855E25"/>
    <w:rsid w:val="00864617"/>
    <w:rsid w:val="008666F6"/>
    <w:rsid w:val="00866920"/>
    <w:rsid w:val="008679B2"/>
    <w:rsid w:val="0087134E"/>
    <w:rsid w:val="008725AC"/>
    <w:rsid w:val="00872A75"/>
    <w:rsid w:val="00872DDA"/>
    <w:rsid w:val="00872ECB"/>
    <w:rsid w:val="0087418A"/>
    <w:rsid w:val="00874427"/>
    <w:rsid w:val="008757A2"/>
    <w:rsid w:val="00875DF7"/>
    <w:rsid w:val="00880C93"/>
    <w:rsid w:val="00883012"/>
    <w:rsid w:val="00884E62"/>
    <w:rsid w:val="00886F68"/>
    <w:rsid w:val="008877F5"/>
    <w:rsid w:val="00890AB5"/>
    <w:rsid w:val="00894315"/>
    <w:rsid w:val="00895992"/>
    <w:rsid w:val="00895BFB"/>
    <w:rsid w:val="00895C36"/>
    <w:rsid w:val="008964D7"/>
    <w:rsid w:val="008969D0"/>
    <w:rsid w:val="00897FB7"/>
    <w:rsid w:val="008A1218"/>
    <w:rsid w:val="008A1BF8"/>
    <w:rsid w:val="008A2D6D"/>
    <w:rsid w:val="008A402F"/>
    <w:rsid w:val="008A45F7"/>
    <w:rsid w:val="008A47C5"/>
    <w:rsid w:val="008A642A"/>
    <w:rsid w:val="008A6D11"/>
    <w:rsid w:val="008A75E7"/>
    <w:rsid w:val="008B164A"/>
    <w:rsid w:val="008B16D9"/>
    <w:rsid w:val="008B2157"/>
    <w:rsid w:val="008B39E9"/>
    <w:rsid w:val="008B3D0C"/>
    <w:rsid w:val="008B506F"/>
    <w:rsid w:val="008B7D43"/>
    <w:rsid w:val="008C0725"/>
    <w:rsid w:val="008C09DA"/>
    <w:rsid w:val="008C15FA"/>
    <w:rsid w:val="008C24C3"/>
    <w:rsid w:val="008C3573"/>
    <w:rsid w:val="008C3C16"/>
    <w:rsid w:val="008C5421"/>
    <w:rsid w:val="008C68E0"/>
    <w:rsid w:val="008C7574"/>
    <w:rsid w:val="008C77DD"/>
    <w:rsid w:val="008D28AF"/>
    <w:rsid w:val="008D2A8B"/>
    <w:rsid w:val="008D2C3B"/>
    <w:rsid w:val="008D3CAD"/>
    <w:rsid w:val="008D55C8"/>
    <w:rsid w:val="008D6C55"/>
    <w:rsid w:val="008D7FC5"/>
    <w:rsid w:val="008E0576"/>
    <w:rsid w:val="008E0660"/>
    <w:rsid w:val="008E0879"/>
    <w:rsid w:val="008E0BC9"/>
    <w:rsid w:val="008E11A4"/>
    <w:rsid w:val="008E18C0"/>
    <w:rsid w:val="008E2662"/>
    <w:rsid w:val="008E4652"/>
    <w:rsid w:val="008E4A96"/>
    <w:rsid w:val="008E5936"/>
    <w:rsid w:val="008E600F"/>
    <w:rsid w:val="008E631E"/>
    <w:rsid w:val="008E6FC7"/>
    <w:rsid w:val="008F0334"/>
    <w:rsid w:val="008F07C1"/>
    <w:rsid w:val="008F0BE7"/>
    <w:rsid w:val="008F2090"/>
    <w:rsid w:val="008F25AC"/>
    <w:rsid w:val="008F28FB"/>
    <w:rsid w:val="008F2E7B"/>
    <w:rsid w:val="008F2FA6"/>
    <w:rsid w:val="008F68B2"/>
    <w:rsid w:val="008F7567"/>
    <w:rsid w:val="008F7C7E"/>
    <w:rsid w:val="0090173A"/>
    <w:rsid w:val="00901961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5BE6"/>
    <w:rsid w:val="009162C3"/>
    <w:rsid w:val="0091704C"/>
    <w:rsid w:val="00917984"/>
    <w:rsid w:val="00920EBE"/>
    <w:rsid w:val="00921A6C"/>
    <w:rsid w:val="00922C2A"/>
    <w:rsid w:val="00923473"/>
    <w:rsid w:val="00923697"/>
    <w:rsid w:val="00923B1F"/>
    <w:rsid w:val="00923C79"/>
    <w:rsid w:val="009248E2"/>
    <w:rsid w:val="00925B3F"/>
    <w:rsid w:val="009266AF"/>
    <w:rsid w:val="00926AF6"/>
    <w:rsid w:val="00931270"/>
    <w:rsid w:val="00931AF2"/>
    <w:rsid w:val="00933AA7"/>
    <w:rsid w:val="00935409"/>
    <w:rsid w:val="009356C9"/>
    <w:rsid w:val="009374C1"/>
    <w:rsid w:val="009409FE"/>
    <w:rsid w:val="00940A9F"/>
    <w:rsid w:val="00941062"/>
    <w:rsid w:val="00941C24"/>
    <w:rsid w:val="00942534"/>
    <w:rsid w:val="009429BA"/>
    <w:rsid w:val="009433C0"/>
    <w:rsid w:val="00943B8D"/>
    <w:rsid w:val="00944535"/>
    <w:rsid w:val="00945B81"/>
    <w:rsid w:val="00946BDD"/>
    <w:rsid w:val="00947C5C"/>
    <w:rsid w:val="00947EE9"/>
    <w:rsid w:val="00947EED"/>
    <w:rsid w:val="00952947"/>
    <w:rsid w:val="00953238"/>
    <w:rsid w:val="00955A92"/>
    <w:rsid w:val="00956922"/>
    <w:rsid w:val="009578D1"/>
    <w:rsid w:val="00960D4B"/>
    <w:rsid w:val="00963312"/>
    <w:rsid w:val="009656EC"/>
    <w:rsid w:val="00966725"/>
    <w:rsid w:val="00966F91"/>
    <w:rsid w:val="00967502"/>
    <w:rsid w:val="009707F3"/>
    <w:rsid w:val="00970E60"/>
    <w:rsid w:val="009710C8"/>
    <w:rsid w:val="00971248"/>
    <w:rsid w:val="00974044"/>
    <w:rsid w:val="00975681"/>
    <w:rsid w:val="0097572E"/>
    <w:rsid w:val="00977167"/>
    <w:rsid w:val="00977CF2"/>
    <w:rsid w:val="0098019D"/>
    <w:rsid w:val="00982EFF"/>
    <w:rsid w:val="00984BDF"/>
    <w:rsid w:val="009855AC"/>
    <w:rsid w:val="0098711E"/>
    <w:rsid w:val="00990304"/>
    <w:rsid w:val="009903D2"/>
    <w:rsid w:val="0099168C"/>
    <w:rsid w:val="00991ABF"/>
    <w:rsid w:val="00993052"/>
    <w:rsid w:val="00993096"/>
    <w:rsid w:val="00993E4E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6D55"/>
    <w:rsid w:val="009C7CE9"/>
    <w:rsid w:val="009D2047"/>
    <w:rsid w:val="009D31A6"/>
    <w:rsid w:val="009D3F8B"/>
    <w:rsid w:val="009D4C3B"/>
    <w:rsid w:val="009D4F9E"/>
    <w:rsid w:val="009D580D"/>
    <w:rsid w:val="009D665F"/>
    <w:rsid w:val="009D6728"/>
    <w:rsid w:val="009D67F9"/>
    <w:rsid w:val="009D6B7A"/>
    <w:rsid w:val="009D75F1"/>
    <w:rsid w:val="009E03E6"/>
    <w:rsid w:val="009E215D"/>
    <w:rsid w:val="009E4944"/>
    <w:rsid w:val="009E56DB"/>
    <w:rsid w:val="009E6303"/>
    <w:rsid w:val="009E6636"/>
    <w:rsid w:val="009E69D8"/>
    <w:rsid w:val="009E7045"/>
    <w:rsid w:val="009F233D"/>
    <w:rsid w:val="009F39FF"/>
    <w:rsid w:val="009F3BF8"/>
    <w:rsid w:val="009F4E0C"/>
    <w:rsid w:val="00A0223F"/>
    <w:rsid w:val="00A03115"/>
    <w:rsid w:val="00A058CE"/>
    <w:rsid w:val="00A07F6E"/>
    <w:rsid w:val="00A10516"/>
    <w:rsid w:val="00A12967"/>
    <w:rsid w:val="00A13910"/>
    <w:rsid w:val="00A14650"/>
    <w:rsid w:val="00A15A17"/>
    <w:rsid w:val="00A15DA9"/>
    <w:rsid w:val="00A162EB"/>
    <w:rsid w:val="00A17D90"/>
    <w:rsid w:val="00A229CC"/>
    <w:rsid w:val="00A2313D"/>
    <w:rsid w:val="00A23C45"/>
    <w:rsid w:val="00A243AD"/>
    <w:rsid w:val="00A24F68"/>
    <w:rsid w:val="00A24FE4"/>
    <w:rsid w:val="00A254AA"/>
    <w:rsid w:val="00A26608"/>
    <w:rsid w:val="00A274AC"/>
    <w:rsid w:val="00A301B6"/>
    <w:rsid w:val="00A30F33"/>
    <w:rsid w:val="00A32DEE"/>
    <w:rsid w:val="00A338D2"/>
    <w:rsid w:val="00A3423A"/>
    <w:rsid w:val="00A36A8B"/>
    <w:rsid w:val="00A37E5C"/>
    <w:rsid w:val="00A40138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5519"/>
    <w:rsid w:val="00A56BB1"/>
    <w:rsid w:val="00A56EE2"/>
    <w:rsid w:val="00A5708A"/>
    <w:rsid w:val="00A5735B"/>
    <w:rsid w:val="00A601A1"/>
    <w:rsid w:val="00A62473"/>
    <w:rsid w:val="00A63465"/>
    <w:rsid w:val="00A6366E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2B8"/>
    <w:rsid w:val="00A855DF"/>
    <w:rsid w:val="00A85A4A"/>
    <w:rsid w:val="00A85B8F"/>
    <w:rsid w:val="00A867F6"/>
    <w:rsid w:val="00A86BD6"/>
    <w:rsid w:val="00A86C30"/>
    <w:rsid w:val="00A87D08"/>
    <w:rsid w:val="00A90ED5"/>
    <w:rsid w:val="00A91625"/>
    <w:rsid w:val="00A91F30"/>
    <w:rsid w:val="00A92374"/>
    <w:rsid w:val="00A9630E"/>
    <w:rsid w:val="00A96F06"/>
    <w:rsid w:val="00A974E8"/>
    <w:rsid w:val="00AA2747"/>
    <w:rsid w:val="00AA6BFE"/>
    <w:rsid w:val="00AB080B"/>
    <w:rsid w:val="00AB0DA6"/>
    <w:rsid w:val="00AB0DC1"/>
    <w:rsid w:val="00AB2807"/>
    <w:rsid w:val="00AB2E98"/>
    <w:rsid w:val="00AB5FEF"/>
    <w:rsid w:val="00AB70EB"/>
    <w:rsid w:val="00AB7DF3"/>
    <w:rsid w:val="00AB7F45"/>
    <w:rsid w:val="00AB7F67"/>
    <w:rsid w:val="00AC09EE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4AF9"/>
    <w:rsid w:val="00B0698C"/>
    <w:rsid w:val="00B109E8"/>
    <w:rsid w:val="00B1148C"/>
    <w:rsid w:val="00B11A0D"/>
    <w:rsid w:val="00B135EF"/>
    <w:rsid w:val="00B17E21"/>
    <w:rsid w:val="00B202BF"/>
    <w:rsid w:val="00B203F9"/>
    <w:rsid w:val="00B22CF0"/>
    <w:rsid w:val="00B233FA"/>
    <w:rsid w:val="00B23402"/>
    <w:rsid w:val="00B23D02"/>
    <w:rsid w:val="00B2418B"/>
    <w:rsid w:val="00B262FC"/>
    <w:rsid w:val="00B26E22"/>
    <w:rsid w:val="00B3063C"/>
    <w:rsid w:val="00B31A17"/>
    <w:rsid w:val="00B31DD4"/>
    <w:rsid w:val="00B323AB"/>
    <w:rsid w:val="00B33513"/>
    <w:rsid w:val="00B33C23"/>
    <w:rsid w:val="00B35081"/>
    <w:rsid w:val="00B35AA1"/>
    <w:rsid w:val="00B35FAA"/>
    <w:rsid w:val="00B366F6"/>
    <w:rsid w:val="00B370FB"/>
    <w:rsid w:val="00B3746D"/>
    <w:rsid w:val="00B3773E"/>
    <w:rsid w:val="00B429FB"/>
    <w:rsid w:val="00B42AE2"/>
    <w:rsid w:val="00B42C17"/>
    <w:rsid w:val="00B44217"/>
    <w:rsid w:val="00B45E7D"/>
    <w:rsid w:val="00B504A8"/>
    <w:rsid w:val="00B51A07"/>
    <w:rsid w:val="00B51B39"/>
    <w:rsid w:val="00B52A19"/>
    <w:rsid w:val="00B52C07"/>
    <w:rsid w:val="00B54FBD"/>
    <w:rsid w:val="00B57527"/>
    <w:rsid w:val="00B60173"/>
    <w:rsid w:val="00B60FE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08C6"/>
    <w:rsid w:val="00B82E29"/>
    <w:rsid w:val="00B83725"/>
    <w:rsid w:val="00B848AC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6447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B73AA"/>
    <w:rsid w:val="00BC0317"/>
    <w:rsid w:val="00BC0F62"/>
    <w:rsid w:val="00BC1F69"/>
    <w:rsid w:val="00BC3141"/>
    <w:rsid w:val="00BC34DC"/>
    <w:rsid w:val="00BC3A98"/>
    <w:rsid w:val="00BC4795"/>
    <w:rsid w:val="00BC6E36"/>
    <w:rsid w:val="00BD100A"/>
    <w:rsid w:val="00BD13CA"/>
    <w:rsid w:val="00BD25E0"/>
    <w:rsid w:val="00BD5536"/>
    <w:rsid w:val="00BD5F5E"/>
    <w:rsid w:val="00BD6D36"/>
    <w:rsid w:val="00BD761F"/>
    <w:rsid w:val="00BD776E"/>
    <w:rsid w:val="00BE0465"/>
    <w:rsid w:val="00BE1069"/>
    <w:rsid w:val="00BE2491"/>
    <w:rsid w:val="00BE5A7F"/>
    <w:rsid w:val="00BE5EDD"/>
    <w:rsid w:val="00BE739E"/>
    <w:rsid w:val="00BE7C85"/>
    <w:rsid w:val="00BF02BF"/>
    <w:rsid w:val="00BF174E"/>
    <w:rsid w:val="00BF1EF2"/>
    <w:rsid w:val="00BF3D6A"/>
    <w:rsid w:val="00BF3E53"/>
    <w:rsid w:val="00BF46BA"/>
    <w:rsid w:val="00BF5448"/>
    <w:rsid w:val="00BF5C95"/>
    <w:rsid w:val="00BF6912"/>
    <w:rsid w:val="00C00396"/>
    <w:rsid w:val="00C0116C"/>
    <w:rsid w:val="00C012C6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3C01"/>
    <w:rsid w:val="00C14DFC"/>
    <w:rsid w:val="00C20818"/>
    <w:rsid w:val="00C21827"/>
    <w:rsid w:val="00C22B3F"/>
    <w:rsid w:val="00C22D28"/>
    <w:rsid w:val="00C22E1A"/>
    <w:rsid w:val="00C23027"/>
    <w:rsid w:val="00C25973"/>
    <w:rsid w:val="00C25FEB"/>
    <w:rsid w:val="00C279C7"/>
    <w:rsid w:val="00C31827"/>
    <w:rsid w:val="00C335BB"/>
    <w:rsid w:val="00C34861"/>
    <w:rsid w:val="00C34A4A"/>
    <w:rsid w:val="00C35075"/>
    <w:rsid w:val="00C35AE2"/>
    <w:rsid w:val="00C35F3C"/>
    <w:rsid w:val="00C43BF0"/>
    <w:rsid w:val="00C43E40"/>
    <w:rsid w:val="00C44D11"/>
    <w:rsid w:val="00C45777"/>
    <w:rsid w:val="00C46067"/>
    <w:rsid w:val="00C47B80"/>
    <w:rsid w:val="00C5046B"/>
    <w:rsid w:val="00C505E9"/>
    <w:rsid w:val="00C50766"/>
    <w:rsid w:val="00C51704"/>
    <w:rsid w:val="00C51BC8"/>
    <w:rsid w:val="00C51CF9"/>
    <w:rsid w:val="00C52AA1"/>
    <w:rsid w:val="00C53602"/>
    <w:rsid w:val="00C54B94"/>
    <w:rsid w:val="00C555DB"/>
    <w:rsid w:val="00C55A13"/>
    <w:rsid w:val="00C564E9"/>
    <w:rsid w:val="00C57CF9"/>
    <w:rsid w:val="00C60E88"/>
    <w:rsid w:val="00C62D43"/>
    <w:rsid w:val="00C636F1"/>
    <w:rsid w:val="00C64894"/>
    <w:rsid w:val="00C64956"/>
    <w:rsid w:val="00C64F7F"/>
    <w:rsid w:val="00C6576C"/>
    <w:rsid w:val="00C666FA"/>
    <w:rsid w:val="00C667D2"/>
    <w:rsid w:val="00C66815"/>
    <w:rsid w:val="00C66E27"/>
    <w:rsid w:val="00C67627"/>
    <w:rsid w:val="00C708E1"/>
    <w:rsid w:val="00C71374"/>
    <w:rsid w:val="00C73C5C"/>
    <w:rsid w:val="00C74499"/>
    <w:rsid w:val="00C75198"/>
    <w:rsid w:val="00C755FF"/>
    <w:rsid w:val="00C7661D"/>
    <w:rsid w:val="00C77CEB"/>
    <w:rsid w:val="00C809A4"/>
    <w:rsid w:val="00C81ABA"/>
    <w:rsid w:val="00C82AD1"/>
    <w:rsid w:val="00C82FE6"/>
    <w:rsid w:val="00C833DD"/>
    <w:rsid w:val="00C840FA"/>
    <w:rsid w:val="00C84A06"/>
    <w:rsid w:val="00C873F8"/>
    <w:rsid w:val="00C906DA"/>
    <w:rsid w:val="00C90D22"/>
    <w:rsid w:val="00C92FBA"/>
    <w:rsid w:val="00C93F16"/>
    <w:rsid w:val="00C9448E"/>
    <w:rsid w:val="00C95302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CB6"/>
    <w:rsid w:val="00CA73A9"/>
    <w:rsid w:val="00CB0AFA"/>
    <w:rsid w:val="00CB12A3"/>
    <w:rsid w:val="00CB256C"/>
    <w:rsid w:val="00CB40DA"/>
    <w:rsid w:val="00CB56EF"/>
    <w:rsid w:val="00CB57B5"/>
    <w:rsid w:val="00CB57BD"/>
    <w:rsid w:val="00CB66BD"/>
    <w:rsid w:val="00CC136B"/>
    <w:rsid w:val="00CC14ED"/>
    <w:rsid w:val="00CC158B"/>
    <w:rsid w:val="00CC40B0"/>
    <w:rsid w:val="00CC42E0"/>
    <w:rsid w:val="00CC5054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D7F4C"/>
    <w:rsid w:val="00CE05E6"/>
    <w:rsid w:val="00CE10E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02BA"/>
    <w:rsid w:val="00D0173E"/>
    <w:rsid w:val="00D01E42"/>
    <w:rsid w:val="00D02199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4878"/>
    <w:rsid w:val="00D24F2C"/>
    <w:rsid w:val="00D25C50"/>
    <w:rsid w:val="00D266A0"/>
    <w:rsid w:val="00D274AD"/>
    <w:rsid w:val="00D31AE4"/>
    <w:rsid w:val="00D31E4D"/>
    <w:rsid w:val="00D328FB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4E11"/>
    <w:rsid w:val="00D66BD4"/>
    <w:rsid w:val="00D71EA9"/>
    <w:rsid w:val="00D72317"/>
    <w:rsid w:val="00D75013"/>
    <w:rsid w:val="00D75166"/>
    <w:rsid w:val="00D7605D"/>
    <w:rsid w:val="00D76721"/>
    <w:rsid w:val="00D81C77"/>
    <w:rsid w:val="00D82C65"/>
    <w:rsid w:val="00D83B1A"/>
    <w:rsid w:val="00D84A41"/>
    <w:rsid w:val="00D85879"/>
    <w:rsid w:val="00D86656"/>
    <w:rsid w:val="00D87249"/>
    <w:rsid w:val="00D90255"/>
    <w:rsid w:val="00D90B22"/>
    <w:rsid w:val="00D91EA2"/>
    <w:rsid w:val="00D91F4A"/>
    <w:rsid w:val="00D92964"/>
    <w:rsid w:val="00D92B6F"/>
    <w:rsid w:val="00D93FAB"/>
    <w:rsid w:val="00D9400D"/>
    <w:rsid w:val="00D94FD5"/>
    <w:rsid w:val="00D95224"/>
    <w:rsid w:val="00D9650B"/>
    <w:rsid w:val="00D9676D"/>
    <w:rsid w:val="00DA118C"/>
    <w:rsid w:val="00DA2F89"/>
    <w:rsid w:val="00DA32AC"/>
    <w:rsid w:val="00DA3CD4"/>
    <w:rsid w:val="00DA50F2"/>
    <w:rsid w:val="00DA7A9B"/>
    <w:rsid w:val="00DB1877"/>
    <w:rsid w:val="00DB1E55"/>
    <w:rsid w:val="00DB1FC7"/>
    <w:rsid w:val="00DB28B8"/>
    <w:rsid w:val="00DB2C8D"/>
    <w:rsid w:val="00DB361A"/>
    <w:rsid w:val="00DC0C3F"/>
    <w:rsid w:val="00DC0E38"/>
    <w:rsid w:val="00DC4B1F"/>
    <w:rsid w:val="00DC516F"/>
    <w:rsid w:val="00DC5EEC"/>
    <w:rsid w:val="00DC69F6"/>
    <w:rsid w:val="00DC6CA2"/>
    <w:rsid w:val="00DC70B9"/>
    <w:rsid w:val="00DD06EF"/>
    <w:rsid w:val="00DD0701"/>
    <w:rsid w:val="00DD0C51"/>
    <w:rsid w:val="00DD16A4"/>
    <w:rsid w:val="00DD1845"/>
    <w:rsid w:val="00DD2214"/>
    <w:rsid w:val="00DD2E7A"/>
    <w:rsid w:val="00DD6811"/>
    <w:rsid w:val="00DD68B2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86B"/>
    <w:rsid w:val="00DE7F3A"/>
    <w:rsid w:val="00DF0627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6002"/>
    <w:rsid w:val="00E060D2"/>
    <w:rsid w:val="00E06B6B"/>
    <w:rsid w:val="00E07157"/>
    <w:rsid w:val="00E11E4B"/>
    <w:rsid w:val="00E12405"/>
    <w:rsid w:val="00E145B7"/>
    <w:rsid w:val="00E16EF4"/>
    <w:rsid w:val="00E1736D"/>
    <w:rsid w:val="00E215F4"/>
    <w:rsid w:val="00E21B2B"/>
    <w:rsid w:val="00E21C77"/>
    <w:rsid w:val="00E2236C"/>
    <w:rsid w:val="00E22479"/>
    <w:rsid w:val="00E23B06"/>
    <w:rsid w:val="00E24E3B"/>
    <w:rsid w:val="00E25BDD"/>
    <w:rsid w:val="00E27E6C"/>
    <w:rsid w:val="00E3077C"/>
    <w:rsid w:val="00E31CB8"/>
    <w:rsid w:val="00E32686"/>
    <w:rsid w:val="00E339AF"/>
    <w:rsid w:val="00E34707"/>
    <w:rsid w:val="00E35F8E"/>
    <w:rsid w:val="00E36688"/>
    <w:rsid w:val="00E36B68"/>
    <w:rsid w:val="00E36D6B"/>
    <w:rsid w:val="00E37231"/>
    <w:rsid w:val="00E37771"/>
    <w:rsid w:val="00E37A4E"/>
    <w:rsid w:val="00E41B37"/>
    <w:rsid w:val="00E41F34"/>
    <w:rsid w:val="00E42868"/>
    <w:rsid w:val="00E42CB1"/>
    <w:rsid w:val="00E44093"/>
    <w:rsid w:val="00E44785"/>
    <w:rsid w:val="00E460FC"/>
    <w:rsid w:val="00E46360"/>
    <w:rsid w:val="00E467E0"/>
    <w:rsid w:val="00E4728D"/>
    <w:rsid w:val="00E51106"/>
    <w:rsid w:val="00E51C31"/>
    <w:rsid w:val="00E53D1F"/>
    <w:rsid w:val="00E5437F"/>
    <w:rsid w:val="00E55E5E"/>
    <w:rsid w:val="00E55ED0"/>
    <w:rsid w:val="00E55EDB"/>
    <w:rsid w:val="00E601D1"/>
    <w:rsid w:val="00E61AA3"/>
    <w:rsid w:val="00E61D29"/>
    <w:rsid w:val="00E62F9C"/>
    <w:rsid w:val="00E64195"/>
    <w:rsid w:val="00E6569A"/>
    <w:rsid w:val="00E658A8"/>
    <w:rsid w:val="00E66504"/>
    <w:rsid w:val="00E66884"/>
    <w:rsid w:val="00E67335"/>
    <w:rsid w:val="00E67792"/>
    <w:rsid w:val="00E706E4"/>
    <w:rsid w:val="00E728CA"/>
    <w:rsid w:val="00E8547B"/>
    <w:rsid w:val="00E8657A"/>
    <w:rsid w:val="00E87514"/>
    <w:rsid w:val="00E879DC"/>
    <w:rsid w:val="00E87F62"/>
    <w:rsid w:val="00E904F8"/>
    <w:rsid w:val="00E9102F"/>
    <w:rsid w:val="00E9131D"/>
    <w:rsid w:val="00E92EFB"/>
    <w:rsid w:val="00E9361D"/>
    <w:rsid w:val="00E947B5"/>
    <w:rsid w:val="00E94A01"/>
    <w:rsid w:val="00E94AD2"/>
    <w:rsid w:val="00E96817"/>
    <w:rsid w:val="00E969CE"/>
    <w:rsid w:val="00EA03A4"/>
    <w:rsid w:val="00EA0766"/>
    <w:rsid w:val="00EA0F1E"/>
    <w:rsid w:val="00EA30EB"/>
    <w:rsid w:val="00EA35FD"/>
    <w:rsid w:val="00EA6F24"/>
    <w:rsid w:val="00EA7F4F"/>
    <w:rsid w:val="00EB4797"/>
    <w:rsid w:val="00EC030E"/>
    <w:rsid w:val="00EC0BE2"/>
    <w:rsid w:val="00EC10B5"/>
    <w:rsid w:val="00EC1845"/>
    <w:rsid w:val="00EC390C"/>
    <w:rsid w:val="00EC4E9C"/>
    <w:rsid w:val="00EC5091"/>
    <w:rsid w:val="00EC5144"/>
    <w:rsid w:val="00EC5783"/>
    <w:rsid w:val="00EC5CD0"/>
    <w:rsid w:val="00EC7739"/>
    <w:rsid w:val="00EC7DCA"/>
    <w:rsid w:val="00ED0036"/>
    <w:rsid w:val="00ED1650"/>
    <w:rsid w:val="00ED282D"/>
    <w:rsid w:val="00ED32B3"/>
    <w:rsid w:val="00ED5291"/>
    <w:rsid w:val="00ED5C71"/>
    <w:rsid w:val="00ED7445"/>
    <w:rsid w:val="00EE0062"/>
    <w:rsid w:val="00EE0388"/>
    <w:rsid w:val="00EE0AF0"/>
    <w:rsid w:val="00EE29FC"/>
    <w:rsid w:val="00EE40FA"/>
    <w:rsid w:val="00EE5834"/>
    <w:rsid w:val="00EE7AE5"/>
    <w:rsid w:val="00EE7BFC"/>
    <w:rsid w:val="00EE7DB0"/>
    <w:rsid w:val="00EE7DD6"/>
    <w:rsid w:val="00EF14B6"/>
    <w:rsid w:val="00EF18CF"/>
    <w:rsid w:val="00EF1DBB"/>
    <w:rsid w:val="00EF2C0D"/>
    <w:rsid w:val="00EF2C31"/>
    <w:rsid w:val="00EF424F"/>
    <w:rsid w:val="00EF52BE"/>
    <w:rsid w:val="00EF5F9B"/>
    <w:rsid w:val="00F03691"/>
    <w:rsid w:val="00F04DCD"/>
    <w:rsid w:val="00F05DF4"/>
    <w:rsid w:val="00F05E67"/>
    <w:rsid w:val="00F0709D"/>
    <w:rsid w:val="00F0763A"/>
    <w:rsid w:val="00F07B52"/>
    <w:rsid w:val="00F07E21"/>
    <w:rsid w:val="00F12E0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10B7"/>
    <w:rsid w:val="00F32321"/>
    <w:rsid w:val="00F32E60"/>
    <w:rsid w:val="00F33B77"/>
    <w:rsid w:val="00F34617"/>
    <w:rsid w:val="00F352C7"/>
    <w:rsid w:val="00F36EA2"/>
    <w:rsid w:val="00F377C5"/>
    <w:rsid w:val="00F401ED"/>
    <w:rsid w:val="00F40FEC"/>
    <w:rsid w:val="00F42925"/>
    <w:rsid w:val="00F43DF3"/>
    <w:rsid w:val="00F454FB"/>
    <w:rsid w:val="00F45B70"/>
    <w:rsid w:val="00F4708E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3958"/>
    <w:rsid w:val="00F65B91"/>
    <w:rsid w:val="00F67346"/>
    <w:rsid w:val="00F7027E"/>
    <w:rsid w:val="00F70B51"/>
    <w:rsid w:val="00F742AE"/>
    <w:rsid w:val="00F744B4"/>
    <w:rsid w:val="00F749D4"/>
    <w:rsid w:val="00F76300"/>
    <w:rsid w:val="00F77BC5"/>
    <w:rsid w:val="00F8022B"/>
    <w:rsid w:val="00F80232"/>
    <w:rsid w:val="00F80F67"/>
    <w:rsid w:val="00F8384C"/>
    <w:rsid w:val="00F857A4"/>
    <w:rsid w:val="00F86D13"/>
    <w:rsid w:val="00F87721"/>
    <w:rsid w:val="00F87A63"/>
    <w:rsid w:val="00F87C24"/>
    <w:rsid w:val="00F90245"/>
    <w:rsid w:val="00F90270"/>
    <w:rsid w:val="00F91FCB"/>
    <w:rsid w:val="00F92F5A"/>
    <w:rsid w:val="00F9311F"/>
    <w:rsid w:val="00F945D6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2ED"/>
    <w:rsid w:val="00FE0870"/>
    <w:rsid w:val="00FE1F2E"/>
    <w:rsid w:val="00FE2BD6"/>
    <w:rsid w:val="00FE2F6A"/>
    <w:rsid w:val="00FE6BC1"/>
    <w:rsid w:val="00FE7C86"/>
    <w:rsid w:val="00FF08B2"/>
    <w:rsid w:val="00FF0CE9"/>
    <w:rsid w:val="00FF1342"/>
    <w:rsid w:val="00FF1598"/>
    <w:rsid w:val="00FF3D22"/>
    <w:rsid w:val="00FF4F12"/>
    <w:rsid w:val="00FF568D"/>
    <w:rsid w:val="00FF5726"/>
    <w:rsid w:val="00FF5B5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D98A"/>
  <w15:docId w15:val="{F59470EB-892F-462B-9B6E-CCE3E6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47DF6-A32E-4A1C-BF64-AAD1D3C9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Rostislav67 Rostislav67</cp:lastModifiedBy>
  <cp:revision>2</cp:revision>
  <cp:lastPrinted>2023-12-12T08:03:00Z</cp:lastPrinted>
  <dcterms:created xsi:type="dcterms:W3CDTF">2023-12-12T08:10:00Z</dcterms:created>
  <dcterms:modified xsi:type="dcterms:W3CDTF">2023-12-12T08:10:00Z</dcterms:modified>
</cp:coreProperties>
</file>