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1277BB">
        <w:rPr>
          <w:rFonts w:ascii="Times New Roman" w:hAnsi="Times New Roman" w:cs="Times New Roman"/>
          <w:b/>
          <w:sz w:val="28"/>
          <w:szCs w:val="28"/>
        </w:rPr>
        <w:t>23</w:t>
      </w:r>
      <w:r w:rsidR="007D5CE7">
        <w:rPr>
          <w:rFonts w:ascii="Times New Roman" w:hAnsi="Times New Roman" w:cs="Times New Roman"/>
          <w:b/>
          <w:sz w:val="28"/>
          <w:szCs w:val="28"/>
        </w:rPr>
        <w:t>.12.202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D5C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6302A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</w:t>
      </w:r>
      <w:r w:rsidR="00DC26A4">
        <w:rPr>
          <w:rFonts w:ascii="Times New Roman" w:hAnsi="Times New Roman" w:cs="Times New Roman"/>
          <w:sz w:val="28"/>
          <w:szCs w:val="28"/>
        </w:rPr>
        <w:t>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277BB">
        <w:rPr>
          <w:rFonts w:ascii="Times New Roman" w:hAnsi="Times New Roman" w:cs="Times New Roman"/>
          <w:sz w:val="28"/>
          <w:szCs w:val="28"/>
        </w:rPr>
        <w:t>0</w:t>
      </w:r>
      <w:r w:rsidR="00F14409">
        <w:rPr>
          <w:rFonts w:ascii="Times New Roman" w:hAnsi="Times New Roman" w:cs="Times New Roman"/>
          <w:sz w:val="28"/>
          <w:szCs w:val="28"/>
        </w:rPr>
        <w:t>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F14409" w:rsidP="00F14409">
      <w:pPr>
        <w:pStyle w:val="a3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409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E1F24" w:rsidRPr="00AC09EE">
        <w:rPr>
          <w:rFonts w:ascii="Times New Roman" w:hAnsi="Times New Roman" w:cs="Times New Roman"/>
          <w:sz w:val="28"/>
          <w:szCs w:val="28"/>
        </w:rPr>
        <w:t>ст.265 Бюджетного кодекса 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</w:t>
      </w:r>
      <w:r w:rsidR="00BA7F14">
        <w:rPr>
          <w:rFonts w:ascii="Times New Roman" w:hAnsi="Times New Roman"/>
          <w:sz w:val="28"/>
          <w:szCs w:val="28"/>
        </w:rPr>
        <w:t>13</w:t>
      </w:r>
      <w:r w:rsidR="00BA7F14" w:rsidRPr="00B75C17">
        <w:rPr>
          <w:rFonts w:ascii="Times New Roman" w:hAnsi="Times New Roman"/>
          <w:sz w:val="28"/>
          <w:szCs w:val="28"/>
        </w:rPr>
        <w:t>.</w:t>
      </w:r>
      <w:r w:rsidR="00BA7F14">
        <w:rPr>
          <w:rFonts w:ascii="Times New Roman" w:hAnsi="Times New Roman"/>
          <w:sz w:val="28"/>
          <w:szCs w:val="28"/>
        </w:rPr>
        <w:t>12</w:t>
      </w:r>
      <w:r w:rsidR="00BA7F14" w:rsidRPr="00B75C17">
        <w:rPr>
          <w:rFonts w:ascii="Times New Roman" w:hAnsi="Times New Roman"/>
          <w:sz w:val="28"/>
          <w:szCs w:val="28"/>
        </w:rPr>
        <w:t>.20</w:t>
      </w:r>
      <w:r w:rsidR="00BA7F14">
        <w:rPr>
          <w:rFonts w:ascii="Times New Roman" w:hAnsi="Times New Roman"/>
          <w:sz w:val="28"/>
          <w:szCs w:val="28"/>
        </w:rPr>
        <w:t>21</w:t>
      </w:r>
      <w:r w:rsidR="00BA7F14" w:rsidRPr="00B75C17">
        <w:rPr>
          <w:rFonts w:ascii="Times New Roman" w:hAnsi="Times New Roman"/>
          <w:sz w:val="28"/>
          <w:szCs w:val="28"/>
        </w:rPr>
        <w:t xml:space="preserve"> №</w:t>
      </w:r>
      <w:r w:rsidR="00BA7F14">
        <w:rPr>
          <w:rFonts w:ascii="Times New Roman" w:hAnsi="Times New Roman"/>
          <w:sz w:val="28"/>
          <w:szCs w:val="28"/>
        </w:rPr>
        <w:t xml:space="preserve">6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1.2);</w:t>
      </w:r>
    </w:p>
    <w:p w:rsidR="00F14409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2E1F24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="002E1F24"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0F7E4F">
        <w:rPr>
          <w:rFonts w:ascii="Times New Roman" w:hAnsi="Times New Roman"/>
          <w:sz w:val="28"/>
          <w:szCs w:val="28"/>
        </w:rPr>
        <w:t>06</w:t>
      </w:r>
      <w:r w:rsidR="000F7E4F" w:rsidRPr="00B75C17">
        <w:rPr>
          <w:rFonts w:ascii="Times New Roman" w:hAnsi="Times New Roman"/>
          <w:sz w:val="28"/>
          <w:szCs w:val="28"/>
        </w:rPr>
        <w:t>.09.20</w:t>
      </w:r>
      <w:r w:rsidR="000F7E4F">
        <w:rPr>
          <w:rFonts w:ascii="Times New Roman" w:hAnsi="Times New Roman"/>
          <w:sz w:val="28"/>
          <w:szCs w:val="28"/>
        </w:rPr>
        <w:t>21</w:t>
      </w:r>
      <w:r w:rsidR="000F7E4F" w:rsidRPr="00B75C17">
        <w:rPr>
          <w:rFonts w:ascii="Times New Roman" w:hAnsi="Times New Roman"/>
          <w:sz w:val="28"/>
          <w:szCs w:val="28"/>
        </w:rPr>
        <w:t xml:space="preserve"> №</w:t>
      </w:r>
      <w:r w:rsidR="000F7E4F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81137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6777DD" w:rsidRPr="00B75C17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3</w:t>
      </w:r>
      <w:r w:rsidR="006777DD" w:rsidRPr="00B75C17">
        <w:rPr>
          <w:rFonts w:ascii="Times New Roman" w:hAnsi="Times New Roman"/>
          <w:sz w:val="28"/>
          <w:szCs w:val="28"/>
        </w:rPr>
        <w:t>.12.20</w:t>
      </w:r>
      <w:r w:rsidR="006777DD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2</w:t>
      </w:r>
      <w:r w:rsidR="006777DD" w:rsidRPr="00B75C17">
        <w:rPr>
          <w:rFonts w:ascii="Times New Roman" w:hAnsi="Times New Roman"/>
          <w:sz w:val="28"/>
          <w:szCs w:val="28"/>
        </w:rPr>
        <w:t xml:space="preserve"> №</w:t>
      </w:r>
      <w:r w:rsidR="001277BB">
        <w:rPr>
          <w:rFonts w:ascii="Times New Roman" w:hAnsi="Times New Roman"/>
          <w:sz w:val="28"/>
          <w:szCs w:val="28"/>
        </w:rPr>
        <w:t>59.</w:t>
      </w:r>
      <w:r w:rsidR="006777DD">
        <w:rPr>
          <w:rFonts w:ascii="Times New Roman" w:hAnsi="Times New Roman"/>
          <w:sz w:val="28"/>
          <w:szCs w:val="28"/>
        </w:rPr>
        <w:t xml:space="preserve"> </w:t>
      </w:r>
    </w:p>
    <w:p w:rsidR="004D779E" w:rsidRDefault="004D779E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Default="00981137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1A5DAA">
        <w:rPr>
          <w:rFonts w:ascii="Times New Roman" w:hAnsi="Times New Roman"/>
          <w:sz w:val="28"/>
          <w:szCs w:val="28"/>
        </w:rPr>
        <w:t xml:space="preserve"> 29</w:t>
      </w:r>
      <w:r w:rsidR="001A5DAA" w:rsidRPr="00B75C17">
        <w:rPr>
          <w:rFonts w:ascii="Times New Roman" w:hAnsi="Times New Roman"/>
          <w:sz w:val="28"/>
          <w:szCs w:val="28"/>
        </w:rPr>
        <w:t>.</w:t>
      </w:r>
      <w:r w:rsidR="001A5DAA">
        <w:rPr>
          <w:rFonts w:ascii="Times New Roman" w:hAnsi="Times New Roman"/>
          <w:sz w:val="28"/>
          <w:szCs w:val="28"/>
        </w:rPr>
        <w:t>09</w:t>
      </w:r>
      <w:r w:rsidR="001A5DAA" w:rsidRPr="00B75C17">
        <w:rPr>
          <w:rFonts w:ascii="Times New Roman" w:hAnsi="Times New Roman"/>
          <w:sz w:val="28"/>
          <w:szCs w:val="28"/>
        </w:rPr>
        <w:t>.20</w:t>
      </w:r>
      <w:r w:rsidR="001A5DAA">
        <w:rPr>
          <w:rFonts w:ascii="Times New Roman" w:hAnsi="Times New Roman"/>
          <w:sz w:val="28"/>
          <w:szCs w:val="28"/>
        </w:rPr>
        <w:t>21</w:t>
      </w:r>
      <w:r w:rsidR="001A5DAA" w:rsidRPr="00B75C17">
        <w:rPr>
          <w:rFonts w:ascii="Times New Roman" w:hAnsi="Times New Roman"/>
          <w:sz w:val="28"/>
          <w:szCs w:val="28"/>
        </w:rPr>
        <w:t xml:space="preserve"> №2</w:t>
      </w:r>
      <w:r w:rsidR="001A5DAA">
        <w:rPr>
          <w:rFonts w:ascii="Times New Roman" w:hAnsi="Times New Roman"/>
          <w:sz w:val="28"/>
          <w:szCs w:val="28"/>
        </w:rPr>
        <w:t>5 (с изменениями)</w:t>
      </w:r>
      <w:r w:rsidR="000515A3"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277BB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277BB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D779E">
        <w:rPr>
          <w:rFonts w:ascii="Times New Roman" w:hAnsi="Times New Roman" w:cs="Times New Roman"/>
          <w:sz w:val="28"/>
          <w:szCs w:val="28"/>
        </w:rPr>
        <w:t xml:space="preserve"> (с изменениями) (далее решение от 23.12.2022 №21).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515A3">
        <w:rPr>
          <w:rFonts w:ascii="Times New Roman" w:hAnsi="Times New Roman" w:cs="Times New Roman"/>
          <w:sz w:val="28"/>
          <w:szCs w:val="28"/>
        </w:rPr>
        <w:t xml:space="preserve"> Администрацией Семлевского</w:t>
      </w:r>
      <w:r w:rsidR="000515A3"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="00004B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4BC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004BC0">
        <w:rPr>
          <w:rFonts w:ascii="Times New Roman" w:hAnsi="Times New Roman" w:cs="Times New Roman"/>
          <w:sz w:val="28"/>
          <w:szCs w:val="28"/>
        </w:rPr>
        <w:t xml:space="preserve">. 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от </w:t>
      </w:r>
      <w:r w:rsidR="005E1508">
        <w:rPr>
          <w:rFonts w:ascii="Times New Roman" w:hAnsi="Times New Roman" w:cs="Times New Roman"/>
          <w:sz w:val="28"/>
          <w:szCs w:val="28"/>
        </w:rPr>
        <w:t>2</w:t>
      </w:r>
      <w:r w:rsidR="004D779E">
        <w:rPr>
          <w:rFonts w:ascii="Times New Roman" w:hAnsi="Times New Roman" w:cs="Times New Roman"/>
          <w:sz w:val="28"/>
          <w:szCs w:val="28"/>
        </w:rPr>
        <w:t>0</w:t>
      </w:r>
      <w:r w:rsidR="0022225A" w:rsidRPr="00DC7C1D">
        <w:rPr>
          <w:rFonts w:ascii="Times New Roman" w:hAnsi="Times New Roman" w:cs="Times New Roman"/>
          <w:sz w:val="28"/>
          <w:szCs w:val="28"/>
        </w:rPr>
        <w:t>.0</w:t>
      </w:r>
      <w:r w:rsidR="004D779E">
        <w:rPr>
          <w:rFonts w:ascii="Times New Roman" w:hAnsi="Times New Roman" w:cs="Times New Roman"/>
          <w:sz w:val="28"/>
          <w:szCs w:val="28"/>
        </w:rPr>
        <w:t>9</w:t>
      </w:r>
      <w:r w:rsidR="0022225A" w:rsidRPr="00DC7C1D">
        <w:rPr>
          <w:rFonts w:ascii="Times New Roman" w:hAnsi="Times New Roman" w:cs="Times New Roman"/>
          <w:sz w:val="28"/>
          <w:szCs w:val="28"/>
        </w:rPr>
        <w:t>.202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4D779E">
        <w:rPr>
          <w:rFonts w:ascii="Times New Roman" w:hAnsi="Times New Roman" w:cs="Times New Roman"/>
          <w:sz w:val="28"/>
          <w:szCs w:val="28"/>
        </w:rPr>
        <w:t>156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4D7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,7,9,</w:t>
      </w:r>
      <w:r w:rsidR="00DC7C1D">
        <w:rPr>
          <w:rFonts w:ascii="Times New Roman" w:hAnsi="Times New Roman" w:cs="Times New Roman"/>
          <w:sz w:val="28"/>
          <w:szCs w:val="28"/>
        </w:rPr>
        <w:t>11,13</w:t>
      </w:r>
      <w:r w:rsidR="00DB3709">
        <w:rPr>
          <w:rFonts w:ascii="Times New Roman" w:hAnsi="Times New Roman" w:cs="Times New Roman"/>
          <w:sz w:val="28"/>
          <w:szCs w:val="28"/>
        </w:rPr>
        <w:t xml:space="preserve"> </w:t>
      </w:r>
      <w:r w:rsidR="00DC7C1D"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DC7C1D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</w:t>
      </w:r>
      <w:r w:rsidR="005C2B57">
        <w:rPr>
          <w:rFonts w:ascii="Times New Roman" w:hAnsi="Times New Roman" w:cs="Times New Roman"/>
          <w:sz w:val="28"/>
          <w:szCs w:val="28"/>
        </w:rPr>
        <w:t>;</w:t>
      </w:r>
    </w:p>
    <w:p w:rsidR="005C2B57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-постановления от </w:t>
      </w:r>
      <w:r w:rsidR="00DB370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B37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DB3709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муниципальную программу «Комплексное развитие систем коммунальной инфраструктуры Семлевского сельского поселения Вяземского района Смоленской области»;</w:t>
      </w:r>
    </w:p>
    <w:p w:rsidR="005C2B57" w:rsidRPr="00AC09EE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-постановления от </w:t>
      </w:r>
      <w:r w:rsidR="00DB370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B37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.2023 №1</w:t>
      </w:r>
      <w:r w:rsidR="00DB370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муниципальную программу «</w:t>
      </w:r>
      <w:r w:rsidR="00DB3709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134C84">
        <w:rPr>
          <w:rFonts w:ascii="Times New Roman" w:hAnsi="Times New Roman" w:cs="Times New Roman"/>
          <w:sz w:val="28"/>
          <w:szCs w:val="28"/>
        </w:rPr>
        <w:t xml:space="preserve"> 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Семлевско</w:t>
      </w:r>
      <w:r w:rsidR="00134C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4C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34C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E1508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5E1508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5E1508">
        <w:rPr>
          <w:rFonts w:ascii="Times New Roman" w:hAnsi="Times New Roman" w:cs="Times New Roman"/>
          <w:sz w:val="28"/>
          <w:szCs w:val="28"/>
        </w:rPr>
        <w:t>21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E1508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5E1508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50E53">
        <w:rPr>
          <w:rFonts w:ascii="Times New Roman" w:hAnsi="Times New Roman" w:cs="Times New Roman"/>
          <w:sz w:val="28"/>
          <w:szCs w:val="28"/>
        </w:rPr>
        <w:t>инспектором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4D779E">
        <w:rPr>
          <w:rFonts w:ascii="Times New Roman" w:hAnsi="Times New Roman" w:cs="Times New Roman"/>
          <w:sz w:val="28"/>
          <w:szCs w:val="28"/>
        </w:rPr>
        <w:t>М</w:t>
      </w:r>
      <w:r w:rsidR="00004BC0">
        <w:rPr>
          <w:rFonts w:ascii="Times New Roman" w:hAnsi="Times New Roman" w:cs="Times New Roman"/>
          <w:sz w:val="28"/>
          <w:szCs w:val="28"/>
        </w:rPr>
        <w:t>.</w:t>
      </w:r>
      <w:r w:rsidR="004D779E">
        <w:rPr>
          <w:rFonts w:ascii="Times New Roman" w:hAnsi="Times New Roman" w:cs="Times New Roman"/>
          <w:sz w:val="28"/>
          <w:szCs w:val="28"/>
        </w:rPr>
        <w:t>М</w:t>
      </w:r>
      <w:r w:rsidR="00004BC0">
        <w:rPr>
          <w:rFonts w:ascii="Times New Roman" w:hAnsi="Times New Roman" w:cs="Times New Roman"/>
          <w:sz w:val="28"/>
          <w:szCs w:val="28"/>
        </w:rPr>
        <w:t xml:space="preserve">. </w:t>
      </w:r>
      <w:r w:rsidR="004D779E">
        <w:rPr>
          <w:rFonts w:ascii="Times New Roman" w:hAnsi="Times New Roman" w:cs="Times New Roman"/>
          <w:sz w:val="28"/>
          <w:szCs w:val="28"/>
        </w:rPr>
        <w:t>Денисовым</w:t>
      </w:r>
      <w:r w:rsidR="00004BC0">
        <w:rPr>
          <w:rFonts w:ascii="Times New Roman" w:hAnsi="Times New Roman" w:cs="Times New Roman"/>
          <w:sz w:val="28"/>
          <w:szCs w:val="28"/>
        </w:rPr>
        <w:t>.</w:t>
      </w:r>
    </w:p>
    <w:p w:rsidR="00134C84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84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004BC0" w:rsidRDefault="0039684A" w:rsidP="005C2B57">
      <w:pPr>
        <w:ind w:firstLine="709"/>
        <w:jc w:val="both"/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C2B57">
        <w:rPr>
          <w:sz w:val="28"/>
          <w:szCs w:val="28"/>
        </w:rPr>
        <w:t>3</w:t>
      </w:r>
      <w:r w:rsidR="00A17A5A"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 w:firstRow="1" w:lastRow="0" w:firstColumn="1" w:lastColumn="0" w:noHBand="0" w:noVBand="1"/>
      </w:tblPr>
      <w:tblGrid>
        <w:gridCol w:w="640"/>
        <w:gridCol w:w="4889"/>
        <w:gridCol w:w="1651"/>
        <w:gridCol w:w="1340"/>
        <w:gridCol w:w="1453"/>
      </w:tblGrid>
      <w:tr w:rsidR="003B3255" w:rsidRPr="003B3255" w:rsidTr="00A17A5A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№ пункта решения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Наименование характеристик бюджета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Решение о бюджете от 23.12.2022 №21</w:t>
            </w:r>
            <w:r w:rsidR="00A17A5A">
              <w:t xml:space="preserve">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DC26A4" w:rsidP="003B3255">
            <w:pPr>
              <w:jc w:val="center"/>
            </w:pPr>
            <w:r>
              <w:t>Проект решения</w:t>
            </w:r>
            <w:r w:rsidR="003B3255" w:rsidRPr="003B3255"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Отклонения (+,-)</w:t>
            </w:r>
          </w:p>
        </w:tc>
      </w:tr>
      <w:tr w:rsidR="003B3255" w:rsidRPr="003B3255" w:rsidTr="00A17A5A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55" w:rsidRPr="003B3255" w:rsidRDefault="003B3255" w:rsidP="003B3255">
            <w:r w:rsidRPr="003B3255"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A17A5A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Доходы на 2023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28251,9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28683,3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+431,4</w:t>
            </w:r>
          </w:p>
        </w:tc>
      </w:tr>
      <w:tr w:rsidR="003B3255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20191,1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20622,5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17A5A" w:rsidP="003B3255">
            <w:pPr>
              <w:jc w:val="right"/>
            </w:pPr>
            <w:r>
              <w:t>+431,4</w:t>
            </w:r>
          </w:p>
        </w:tc>
      </w:tr>
      <w:tr w:rsidR="003B3255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20191,1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20622,5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+431,4</w:t>
            </w:r>
          </w:p>
        </w:tc>
      </w:tr>
      <w:tr w:rsidR="003B3255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Расходы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28680,7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29112,1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+431,4</w:t>
            </w:r>
          </w:p>
        </w:tc>
      </w:tr>
      <w:tr w:rsidR="003B3255" w:rsidRPr="003B3255" w:rsidTr="00A17A5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Дефицит (профицит)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524FB0" w:rsidP="003B3255">
            <w:pPr>
              <w:jc w:val="right"/>
            </w:pPr>
            <w:r>
              <w:t>428,8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524FB0" w:rsidRDefault="00524FB0" w:rsidP="003B3255">
            <w:pPr>
              <w:jc w:val="right"/>
            </w:pPr>
            <w:r>
              <w:t>0,0</w:t>
            </w:r>
          </w:p>
        </w:tc>
      </w:tr>
      <w:tr w:rsidR="003B3255" w:rsidRPr="003B3255" w:rsidTr="00A17A5A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255" w:rsidRPr="003B3255" w:rsidRDefault="003B3255" w:rsidP="003B3255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A17A5A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Доходы на 2024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16490,6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16490,6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8048,8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8048,8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8048,8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8048,8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Доходы на 2025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12952,7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12952,7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4087,00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4087,00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4087,00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4087,00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Расходы на 2024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16490,6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16490,6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390,0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390,0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Расходы на 2025 год,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12952,7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12952,7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условно утверждённые расходы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630,0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630,0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Дефицит (профицит)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524FB0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r w:rsidRPr="003B3255">
              <w:t>Дефицит (профицит) 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lastRenderedPageBreak/>
              <w:t>5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13.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в 2023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27152,1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27432,8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+280,7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в 2024 году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14565,2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14565,2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в 2025 году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10777,5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10777,5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15.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Объем бюджетных ассигнований дорожного фонда сельского поселения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14217,7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14217,7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2404,7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2404,7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2531,3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2531,3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16.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2288,9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2288,9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2404,7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2404,7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2531,3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2531,3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17.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18.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20.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FB0" w:rsidRPr="003B3255" w:rsidRDefault="00524FB0" w:rsidP="00524FB0">
            <w:r w:rsidRPr="003B3255"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9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lastRenderedPageBreak/>
              <w:t>1)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Верхний предел муниципального внутреннего долга на 01.01.2026 года по долговым обязательствам сельского поселения, в том числе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4FB0" w:rsidRPr="003B3255" w:rsidRDefault="00524FB0" w:rsidP="00524FB0"/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21.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Расходы сельского поселения на обслуживание муниципального долга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 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1)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2)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 xml:space="preserve">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  <w:tr w:rsidR="00524FB0" w:rsidRPr="003B3255" w:rsidTr="00A17A5A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center"/>
            </w:pPr>
            <w:r w:rsidRPr="003B3255">
              <w:t>3)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FB0" w:rsidRPr="003B3255" w:rsidRDefault="00524FB0" w:rsidP="00524FB0">
            <w:r w:rsidRPr="003B3255">
              <w:t>на 2025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B0" w:rsidRPr="003B3255" w:rsidRDefault="00524FB0" w:rsidP="00524FB0">
            <w:pPr>
              <w:jc w:val="right"/>
            </w:pPr>
            <w:r w:rsidRPr="003B3255">
              <w:t>0,0</w:t>
            </w:r>
          </w:p>
        </w:tc>
      </w:tr>
    </w:tbl>
    <w:p w:rsidR="003B3255" w:rsidRDefault="003B32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 2024 и 2025 годов – не изменяются:</w:t>
      </w: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26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621"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E22621"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262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2621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262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26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262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262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2621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22621"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2621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AC645B" w:rsidRPr="00DB251A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AD3FCF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AD3FCF">
        <w:rPr>
          <w:rFonts w:ascii="Times New Roman" w:hAnsi="Times New Roman" w:cs="Times New Roman"/>
          <w:b/>
          <w:sz w:val="28"/>
          <w:szCs w:val="28"/>
        </w:rPr>
        <w:t>71</w:t>
      </w:r>
      <w:r>
        <w:rPr>
          <w:rFonts w:ascii="Times New Roman" w:hAnsi="Times New Roman" w:cs="Times New Roman"/>
          <w:b/>
          <w:sz w:val="28"/>
          <w:szCs w:val="28"/>
        </w:rPr>
        <w:t>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3FCF">
        <w:rPr>
          <w:rFonts w:ascii="Times New Roman" w:hAnsi="Times New Roman" w:cs="Times New Roman"/>
          <w:b/>
          <w:sz w:val="28"/>
          <w:szCs w:val="28"/>
        </w:rPr>
        <w:t>9 112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FCF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D3FCF"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FC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бюджета в сумме </w:t>
      </w:r>
      <w:r w:rsidR="00AD3FCF">
        <w:rPr>
          <w:rFonts w:ascii="Times New Roman" w:hAnsi="Times New Roman" w:cs="Times New Roman"/>
          <w:b/>
          <w:sz w:val="28"/>
          <w:szCs w:val="28"/>
        </w:rPr>
        <w:t>428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F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AD3FCF">
        <w:rPr>
          <w:rFonts w:ascii="Times New Roman" w:hAnsi="Times New Roman" w:cs="Times New Roman"/>
          <w:b/>
          <w:sz w:val="28"/>
          <w:szCs w:val="28"/>
        </w:rPr>
        <w:t xml:space="preserve"> 432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D3FC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3FCF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645B" w:rsidRPr="00534560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534560">
        <w:rPr>
          <w:rFonts w:ascii="Times New Roman" w:hAnsi="Times New Roman" w:cs="Times New Roman"/>
          <w:sz w:val="28"/>
          <w:szCs w:val="28"/>
        </w:rPr>
        <w:t xml:space="preserve"> Изменения по безвозмездным поступлениям обусловлены необходимостью увеличения объема суб</w:t>
      </w:r>
      <w:r w:rsidR="00AD3FCF">
        <w:rPr>
          <w:rFonts w:ascii="Times New Roman" w:hAnsi="Times New Roman" w:cs="Times New Roman"/>
          <w:sz w:val="28"/>
          <w:szCs w:val="28"/>
        </w:rPr>
        <w:t>сидий</w:t>
      </w:r>
      <w:r w:rsidRPr="00534560">
        <w:rPr>
          <w:rFonts w:ascii="Times New Roman" w:hAnsi="Times New Roman" w:cs="Times New Roman"/>
          <w:sz w:val="28"/>
          <w:szCs w:val="28"/>
        </w:rPr>
        <w:t xml:space="preserve"> и межбюджетных трансфертов, передаваемых бюджетам сельских поселений:</w:t>
      </w:r>
    </w:p>
    <w:p w:rsidR="00AC645B" w:rsidRPr="00534560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>- суб</w:t>
      </w:r>
      <w:r w:rsidR="00AD3FCF">
        <w:rPr>
          <w:rFonts w:ascii="Times New Roman" w:hAnsi="Times New Roman" w:cs="Times New Roman"/>
          <w:sz w:val="28"/>
          <w:szCs w:val="28"/>
        </w:rPr>
        <w:t>сидии</w:t>
      </w:r>
      <w:r w:rsidRPr="00534560">
        <w:rPr>
          <w:rFonts w:ascii="Times New Roman" w:hAnsi="Times New Roman" w:cs="Times New Roman"/>
          <w:sz w:val="28"/>
          <w:szCs w:val="28"/>
        </w:rPr>
        <w:t>,</w:t>
      </w:r>
      <w:r w:rsidR="00A05F3D">
        <w:rPr>
          <w:rFonts w:ascii="Times New Roman" w:hAnsi="Times New Roman" w:cs="Times New Roman"/>
          <w:sz w:val="28"/>
          <w:szCs w:val="28"/>
        </w:rPr>
        <w:t xml:space="preserve"> за счет средств резервного фонда Администрации Смоленской области,</w:t>
      </w:r>
      <w:r w:rsidRPr="00534560">
        <w:rPr>
          <w:rFonts w:ascii="Times New Roman" w:hAnsi="Times New Roman" w:cs="Times New Roman"/>
          <w:sz w:val="28"/>
          <w:szCs w:val="28"/>
        </w:rPr>
        <w:t xml:space="preserve"> согласно уведомлени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4560">
        <w:rPr>
          <w:rFonts w:ascii="Times New Roman" w:hAnsi="Times New Roman" w:cs="Times New Roman"/>
          <w:sz w:val="28"/>
          <w:szCs w:val="28"/>
        </w:rPr>
        <w:t xml:space="preserve"> №</w:t>
      </w:r>
      <w:r w:rsidR="00AD3FCF">
        <w:rPr>
          <w:rFonts w:ascii="Times New Roman" w:hAnsi="Times New Roman" w:cs="Times New Roman"/>
          <w:sz w:val="28"/>
          <w:szCs w:val="28"/>
        </w:rPr>
        <w:t>99107</w:t>
      </w:r>
      <w:r w:rsidRPr="00534560">
        <w:rPr>
          <w:rFonts w:ascii="Times New Roman" w:hAnsi="Times New Roman" w:cs="Times New Roman"/>
          <w:sz w:val="28"/>
          <w:szCs w:val="28"/>
        </w:rPr>
        <w:t>/1 Департамента</w:t>
      </w:r>
      <w:r w:rsidR="00AD3FCF">
        <w:rPr>
          <w:rFonts w:ascii="Times New Roman" w:hAnsi="Times New Roman" w:cs="Times New Roman"/>
          <w:sz w:val="28"/>
          <w:szCs w:val="28"/>
        </w:rPr>
        <w:t xml:space="preserve"> бюджета и финансов</w:t>
      </w:r>
      <w:r w:rsidRPr="00534560">
        <w:rPr>
          <w:rFonts w:ascii="Times New Roman" w:hAnsi="Times New Roman" w:cs="Times New Roman"/>
          <w:sz w:val="28"/>
          <w:szCs w:val="28"/>
        </w:rPr>
        <w:t xml:space="preserve"> Смоленской области,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5F3D">
        <w:rPr>
          <w:rFonts w:ascii="Times New Roman" w:hAnsi="Times New Roman" w:cs="Times New Roman"/>
          <w:b/>
          <w:sz w:val="28"/>
          <w:szCs w:val="28"/>
        </w:rPr>
        <w:t>60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A05F3D">
        <w:rPr>
          <w:rFonts w:ascii="Times New Roman" w:hAnsi="Times New Roman" w:cs="Times New Roman"/>
          <w:b/>
          <w:sz w:val="28"/>
          <w:szCs w:val="28"/>
        </w:rPr>
        <w:t>0</w:t>
      </w:r>
      <w:r w:rsidRPr="00534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56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34560">
        <w:rPr>
          <w:rFonts w:ascii="Times New Roman" w:hAnsi="Times New Roman" w:cs="Times New Roman"/>
          <w:sz w:val="28"/>
          <w:szCs w:val="28"/>
        </w:rPr>
        <w:t>;</w:t>
      </w:r>
    </w:p>
    <w:p w:rsidR="00AC645B" w:rsidRDefault="00C55DD5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AC645B" w:rsidRPr="00534560">
        <w:rPr>
          <w:rFonts w:ascii="Times New Roman" w:hAnsi="Times New Roman" w:cs="Times New Roman"/>
          <w:sz w:val="28"/>
          <w:szCs w:val="28"/>
        </w:rPr>
        <w:t xml:space="preserve">межбюджетного трансферта, </w:t>
      </w:r>
      <w:r w:rsidR="00A05F3D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="00AC645B" w:rsidRPr="00534560">
        <w:rPr>
          <w:rFonts w:ascii="Times New Roman" w:hAnsi="Times New Roman" w:cs="Times New Roman"/>
          <w:sz w:val="28"/>
          <w:szCs w:val="28"/>
        </w:rPr>
        <w:t>сельских поселений, согласно уведомлени</w:t>
      </w:r>
      <w:r w:rsidR="00AC645B">
        <w:rPr>
          <w:rFonts w:ascii="Times New Roman" w:hAnsi="Times New Roman" w:cs="Times New Roman"/>
          <w:sz w:val="28"/>
          <w:szCs w:val="28"/>
        </w:rPr>
        <w:t>ю</w:t>
      </w:r>
      <w:r w:rsidR="00AC645B" w:rsidRPr="00534560">
        <w:rPr>
          <w:rFonts w:ascii="Times New Roman" w:hAnsi="Times New Roman" w:cs="Times New Roman"/>
          <w:sz w:val="28"/>
          <w:szCs w:val="28"/>
        </w:rPr>
        <w:t xml:space="preserve"> №75-р/</w:t>
      </w:r>
      <w:r w:rsidR="00A05F3D">
        <w:rPr>
          <w:rFonts w:ascii="Times New Roman" w:hAnsi="Times New Roman" w:cs="Times New Roman"/>
          <w:sz w:val="28"/>
          <w:szCs w:val="28"/>
        </w:rPr>
        <w:t>5</w:t>
      </w:r>
      <w:r w:rsidR="00AC645B" w:rsidRPr="00534560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«Вяземский</w:t>
      </w:r>
      <w:r w:rsidR="00AC645B">
        <w:rPr>
          <w:rFonts w:ascii="Times New Roman" w:hAnsi="Times New Roman" w:cs="Times New Roman"/>
          <w:sz w:val="28"/>
          <w:szCs w:val="28"/>
        </w:rPr>
        <w:t xml:space="preserve"> </w:t>
      </w:r>
      <w:r w:rsidR="00AC645B" w:rsidRPr="00534560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AC645B" w:rsidRPr="005345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C645B" w:rsidRPr="00534560">
        <w:rPr>
          <w:rFonts w:ascii="Times New Roman" w:hAnsi="Times New Roman" w:cs="Times New Roman"/>
          <w:sz w:val="28"/>
          <w:szCs w:val="28"/>
        </w:rPr>
        <w:t xml:space="preserve"> Смоленской области, </w:t>
      </w:r>
      <w:r w:rsidR="00AC645B"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AC645B"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C645B" w:rsidRPr="00534560">
        <w:rPr>
          <w:rFonts w:ascii="Times New Roman" w:hAnsi="Times New Roman" w:cs="Times New Roman"/>
          <w:b/>
          <w:sz w:val="28"/>
          <w:szCs w:val="28"/>
        </w:rPr>
        <w:t>371,4</w:t>
      </w:r>
      <w:r w:rsidR="00AC645B" w:rsidRPr="005345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1560"/>
        <w:gridCol w:w="1275"/>
        <w:gridCol w:w="1276"/>
        <w:gridCol w:w="1276"/>
      </w:tblGrid>
      <w:tr w:rsidR="00AC645B" w:rsidRPr="00413BF0" w:rsidTr="0055733C">
        <w:trPr>
          <w:trHeight w:val="6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B153A4">
              <w:rPr>
                <w:b/>
                <w:bCs/>
                <w:sz w:val="18"/>
                <w:szCs w:val="18"/>
              </w:rPr>
              <w:t>23</w:t>
            </w:r>
            <w:r w:rsidRPr="00413BF0">
              <w:rPr>
                <w:b/>
                <w:bCs/>
                <w:sz w:val="18"/>
                <w:szCs w:val="18"/>
              </w:rPr>
              <w:t>.12.2022 №</w:t>
            </w:r>
            <w:r w:rsidR="00B153A4">
              <w:rPr>
                <w:b/>
                <w:bCs/>
                <w:sz w:val="18"/>
                <w:szCs w:val="18"/>
              </w:rPr>
              <w:t>2</w:t>
            </w:r>
            <w:r w:rsidRPr="00413BF0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C645B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Pr="00413BF0" w:rsidRDefault="00AC645B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>ПРОЕКТ решени</w:t>
            </w:r>
            <w:r w:rsidR="00DD4489">
              <w:rPr>
                <w:b/>
                <w:bCs/>
                <w:sz w:val="18"/>
                <w:szCs w:val="18"/>
              </w:rPr>
              <w:t>я</w:t>
            </w:r>
            <w:r w:rsidRPr="00413BF0">
              <w:rPr>
                <w:b/>
                <w:bCs/>
                <w:sz w:val="18"/>
                <w:szCs w:val="18"/>
              </w:rPr>
              <w:t xml:space="preserve"> о бюджете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645B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</w:t>
            </w:r>
          </w:p>
          <w:p w:rsidR="00AC645B" w:rsidRPr="00413BF0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(+,-)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Отклонение (%)</w:t>
            </w:r>
          </w:p>
        </w:tc>
      </w:tr>
      <w:tr w:rsidR="00AC645B" w:rsidRPr="00413BF0" w:rsidTr="0055733C">
        <w:trPr>
          <w:trHeight w:val="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645B" w:rsidRPr="00413BF0" w:rsidRDefault="00AC645B" w:rsidP="00557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1 274,8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1 274,8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4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2 288,9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2 288,9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B153A4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4 021,1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4 021,1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671A5E" w:rsidRDefault="00AC645B" w:rsidP="0055733C">
            <w:pPr>
              <w:jc w:val="right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100,0</w:t>
            </w:r>
          </w:p>
        </w:tc>
      </w:tr>
      <w:tr w:rsidR="00AC645B" w:rsidRPr="00413BF0" w:rsidTr="0055733C">
        <w:trPr>
          <w:trHeight w:val="7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671A5E" w:rsidRDefault="00AC645B" w:rsidP="0055733C">
            <w:pPr>
              <w:rPr>
                <w:bCs/>
                <w:i/>
                <w:iCs/>
                <w:sz w:val="20"/>
                <w:szCs w:val="20"/>
              </w:rPr>
            </w:pPr>
            <w:r w:rsidRPr="00671A5E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B819F2" w:rsidRDefault="00E1126E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  <w:p w:rsidR="00AC645B" w:rsidRPr="00B819F2" w:rsidRDefault="00AC645B" w:rsidP="0055733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B819F2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AC645B" w:rsidRPr="00413BF0" w:rsidRDefault="00AC645B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Pr="00413BF0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C645B" w:rsidRPr="00413BF0" w:rsidTr="0055733C">
        <w:trPr>
          <w:trHeight w:val="11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  <w:r>
              <w:rPr>
                <w:i/>
                <w:iCs/>
                <w:sz w:val="20"/>
                <w:szCs w:val="20"/>
              </w:rPr>
              <w:t>, муниципал</w:t>
            </w:r>
            <w:r w:rsidRPr="00413BF0">
              <w:rPr>
                <w:i/>
                <w:iCs/>
                <w:sz w:val="20"/>
                <w:szCs w:val="20"/>
              </w:rPr>
              <w:t>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AC645B" w:rsidRPr="00413BF0" w:rsidRDefault="00AC645B" w:rsidP="00E1126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  <w:r w:rsidR="00E1126E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,0</w:t>
            </w:r>
          </w:p>
        </w:tc>
      </w:tr>
      <w:tr w:rsidR="00AC645B" w:rsidRPr="00413BF0" w:rsidTr="0055733C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 w:rsidRPr="00413BF0">
              <w:rPr>
                <w:i/>
                <w:iCs/>
                <w:sz w:val="20"/>
                <w:szCs w:val="20"/>
              </w:rPr>
              <w:t xml:space="preserve">субсидии бюджетам </w:t>
            </w:r>
            <w:r>
              <w:rPr>
                <w:i/>
                <w:iCs/>
                <w:sz w:val="20"/>
                <w:szCs w:val="20"/>
              </w:rPr>
              <w:t>бюджетной системы РФ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26E" w:rsidRDefault="00E1126E" w:rsidP="0055733C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AC645B" w:rsidRPr="00025054" w:rsidRDefault="00E1126E" w:rsidP="0055733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100,5</w:t>
            </w:r>
          </w:p>
        </w:tc>
      </w:tr>
      <w:tr w:rsidR="00AC645B" w:rsidRPr="00413BF0" w:rsidTr="0055733C">
        <w:trPr>
          <w:trHeight w:val="3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Pr="00413BF0" w:rsidRDefault="00AC645B" w:rsidP="005573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5B" w:rsidRDefault="00AC645B" w:rsidP="0055733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45B" w:rsidRDefault="00AC645B" w:rsidP="0055733C">
            <w:pPr>
              <w:jc w:val="right"/>
              <w:rPr>
                <w:i/>
                <w:iCs/>
                <w:sz w:val="18"/>
                <w:szCs w:val="18"/>
              </w:rPr>
            </w:pPr>
          </w:p>
          <w:p w:rsidR="00AC645B" w:rsidRDefault="00AC645B" w:rsidP="0055733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20 191,1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20 622,5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C645B" w:rsidRPr="00025054" w:rsidRDefault="00E1126E" w:rsidP="005573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102,1</w:t>
            </w:r>
          </w:p>
        </w:tc>
      </w:tr>
      <w:tr w:rsidR="00AC645B" w:rsidRPr="00413BF0" w:rsidTr="0055733C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AC645B" w:rsidP="0055733C">
            <w:pPr>
              <w:rPr>
                <w:b/>
                <w:bCs/>
                <w:sz w:val="20"/>
                <w:szCs w:val="20"/>
              </w:rPr>
            </w:pPr>
            <w:r w:rsidRPr="00413BF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28 251,9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28 683,3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C645B" w:rsidRPr="00413BF0" w:rsidRDefault="00E1126E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</w:tcPr>
          <w:p w:rsidR="00AC645B" w:rsidRPr="00025054" w:rsidRDefault="00E1126E" w:rsidP="005573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101,5</w:t>
            </w:r>
          </w:p>
        </w:tc>
      </w:tr>
    </w:tbl>
    <w:p w:rsidR="00AC645B" w:rsidRDefault="00AC645B" w:rsidP="00AC64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645B" w:rsidRDefault="00AC645B" w:rsidP="00AC645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4666869"/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29 112,1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431,4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02E" w:rsidRDefault="0021202E" w:rsidP="00212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21202E" w:rsidRDefault="0021202E" w:rsidP="0021202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425"/>
        <w:gridCol w:w="1478"/>
        <w:gridCol w:w="1074"/>
        <w:gridCol w:w="1417"/>
        <w:gridCol w:w="1418"/>
      </w:tblGrid>
      <w:tr w:rsidR="0021202E" w:rsidRPr="008C5198" w:rsidTr="00DD4489">
        <w:trPr>
          <w:cantSplit/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1202E" w:rsidRPr="008C5198" w:rsidRDefault="0021202E" w:rsidP="002120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1202E" w:rsidRPr="008C5198" w:rsidRDefault="0021202E" w:rsidP="0021202E">
            <w:pPr>
              <w:ind w:left="113" w:right="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4489" w:rsidRDefault="00DD4489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 w:rsidRPr="00413BF0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23</w:t>
            </w:r>
            <w:r w:rsidRPr="00413BF0">
              <w:rPr>
                <w:b/>
                <w:bCs/>
                <w:sz w:val="18"/>
                <w:szCs w:val="18"/>
              </w:rPr>
              <w:t>.12.2022 №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13BF0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D4489" w:rsidRDefault="00DD4489" w:rsidP="00DD44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измен.)</w:t>
            </w:r>
          </w:p>
          <w:p w:rsidR="0021202E" w:rsidRPr="008C5198" w:rsidRDefault="00DD4489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202E" w:rsidRPr="00DD4489" w:rsidRDefault="0021202E" w:rsidP="0021202E">
            <w:pPr>
              <w:jc w:val="center"/>
              <w:rPr>
                <w:b/>
                <w:bCs/>
                <w:sz w:val="18"/>
                <w:szCs w:val="18"/>
              </w:rPr>
            </w:pPr>
            <w:r w:rsidRPr="00DD4489">
              <w:rPr>
                <w:b/>
                <w:bCs/>
                <w:sz w:val="18"/>
                <w:szCs w:val="18"/>
              </w:rPr>
              <w:t>проект решения о бюджете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202E" w:rsidRPr="008C5198" w:rsidRDefault="00DD4489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="0021202E" w:rsidRPr="008C5198">
              <w:rPr>
                <w:b/>
                <w:bCs/>
                <w:sz w:val="20"/>
                <w:szCs w:val="20"/>
              </w:rPr>
              <w:t>ткл</w:t>
            </w:r>
            <w:r w:rsidR="0021202E">
              <w:rPr>
                <w:b/>
                <w:bCs/>
                <w:sz w:val="20"/>
                <w:szCs w:val="20"/>
              </w:rPr>
              <w:t>онение</w:t>
            </w:r>
            <w:r w:rsidR="0021202E" w:rsidRPr="008C519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1202E" w:rsidRPr="008C5198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21202E" w:rsidRPr="008C5198">
              <w:rPr>
                <w:b/>
                <w:bCs/>
                <w:sz w:val="20"/>
                <w:szCs w:val="20"/>
              </w:rPr>
              <w:t>+,-)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4489" w:rsidRDefault="00DD4489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О</w:t>
            </w:r>
            <w:r w:rsidR="0021202E" w:rsidRPr="008C5198">
              <w:rPr>
                <w:b/>
                <w:bCs/>
                <w:sz w:val="20"/>
                <w:szCs w:val="20"/>
              </w:rPr>
              <w:t>ткл</w:t>
            </w:r>
            <w:r>
              <w:rPr>
                <w:b/>
                <w:bCs/>
                <w:sz w:val="20"/>
                <w:szCs w:val="20"/>
              </w:rPr>
              <w:t>онение</w:t>
            </w:r>
          </w:p>
          <w:p w:rsidR="0021202E" w:rsidRPr="008C5198" w:rsidRDefault="0021202E" w:rsidP="00DD4489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(</w:t>
            </w:r>
            <w:r w:rsidR="00DD4489">
              <w:rPr>
                <w:b/>
                <w:bCs/>
                <w:sz w:val="20"/>
                <w:szCs w:val="20"/>
              </w:rPr>
              <w:t>%</w:t>
            </w:r>
            <w:r w:rsidRPr="008C5198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1202E" w:rsidRPr="008C5198" w:rsidTr="00DD4489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9541,3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101,7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113,5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8772,4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100,9</w:t>
            </w:r>
          </w:p>
        </w:tc>
      </w:tr>
      <w:tr w:rsidR="0021202E" w:rsidRPr="008C5198" w:rsidTr="00DD4489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1202E" w:rsidRPr="008C5198" w:rsidTr="00DD4489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66,7</w:t>
            </w:r>
          </w:p>
        </w:tc>
      </w:tr>
      <w:tr w:rsidR="0021202E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133,3</w:t>
            </w:r>
          </w:p>
        </w:tc>
      </w:tr>
      <w:tr w:rsidR="0021202E" w:rsidRPr="008C5198" w:rsidTr="00DD4489">
        <w:trPr>
          <w:trHeight w:val="44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5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C4A7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519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EE35C4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EE35C4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14219,7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EE35C4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EE35C4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EE35C4" w:rsidP="00EE35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1202E" w:rsidRPr="008C5198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F3799A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9A" w:rsidRPr="008C5198" w:rsidRDefault="00671C4A" w:rsidP="0021202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087ED6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9A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14217,7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14217,7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087ED6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</w:t>
            </w:r>
            <w:r w:rsidR="00087ED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4115,00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106,2</w:t>
            </w:r>
          </w:p>
        </w:tc>
      </w:tr>
      <w:tr w:rsidR="0021202E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2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123,6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2905,0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99,8</w:t>
            </w:r>
          </w:p>
        </w:tc>
      </w:tr>
      <w:tr w:rsidR="0021202E" w:rsidRPr="008C5198" w:rsidTr="00DD4489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21202E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21202E" w:rsidP="0021202E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1202E" w:rsidRPr="008C5198" w:rsidTr="00DD4489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087ED6" w:rsidP="0021202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1202E" w:rsidRPr="008C5198" w:rsidTr="00DD4489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21202E" w:rsidP="0021202E">
            <w:pPr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21202E" w:rsidP="0021202E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28680,7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21202E" w:rsidRPr="008C5198" w:rsidRDefault="00B46EA0" w:rsidP="002120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+431,4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1202E" w:rsidRPr="008C5198" w:rsidRDefault="00B46EA0" w:rsidP="00B46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101,5</w:t>
            </w:r>
          </w:p>
        </w:tc>
      </w:tr>
    </w:tbl>
    <w:p w:rsidR="00975579" w:rsidRDefault="0021202E" w:rsidP="0097557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75579" w:rsidRDefault="00975579" w:rsidP="009755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9 707,7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166,4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79" w:rsidRPr="00DB251A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354,7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без изменений. </w:t>
      </w:r>
    </w:p>
    <w:p w:rsidR="00975579" w:rsidRPr="00DB251A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14 225,4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4 369,3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254,3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579" w:rsidRDefault="00975579" w:rsidP="0097557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425,0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C5198" w:rsidRPr="00BE66FE" w:rsidRDefault="008C5198" w:rsidP="0097557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2352D0">
        <w:rPr>
          <w:rFonts w:ascii="Times New Roman" w:hAnsi="Times New Roman" w:cs="Times New Roman"/>
          <w:b/>
          <w:sz w:val="28"/>
          <w:szCs w:val="28"/>
        </w:rPr>
        <w:t xml:space="preserve"> 432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352D0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352D0">
        <w:rPr>
          <w:rFonts w:ascii="Times New Roman" w:hAnsi="Times New Roman" w:cs="Times New Roman"/>
          <w:b/>
          <w:sz w:val="28"/>
          <w:szCs w:val="28"/>
        </w:rPr>
        <w:t>280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непрограммные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352D0">
        <w:rPr>
          <w:rFonts w:ascii="Times New Roman" w:hAnsi="Times New Roman" w:cs="Times New Roman"/>
          <w:b/>
          <w:sz w:val="28"/>
          <w:szCs w:val="28"/>
        </w:rPr>
        <w:t>679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352D0">
        <w:rPr>
          <w:rFonts w:ascii="Times New Roman" w:hAnsi="Times New Roman" w:cs="Times New Roman"/>
          <w:b/>
          <w:sz w:val="28"/>
          <w:szCs w:val="28"/>
        </w:rPr>
        <w:t>150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352D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6B96" w:rsidRPr="004A59C0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2352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352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2352D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2352D0">
        <w:rPr>
          <w:rFonts w:ascii="Times New Roman" w:hAnsi="Times New Roman" w:cs="Times New Roman"/>
          <w:b/>
          <w:sz w:val="28"/>
          <w:szCs w:val="28"/>
        </w:rPr>
        <w:t>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352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 w:rsidR="002352D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352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и непрограммных расходов на 2023 год представлены в таблице №4.</w:t>
      </w:r>
    </w:p>
    <w:p w:rsidR="00106B96" w:rsidRDefault="00106B96" w:rsidP="00106B9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6B96" w:rsidRDefault="00106B96" w:rsidP="00106B9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24"/>
        <w:gridCol w:w="4149"/>
        <w:gridCol w:w="1418"/>
        <w:gridCol w:w="992"/>
        <w:gridCol w:w="1134"/>
        <w:gridCol w:w="1134"/>
      </w:tblGrid>
      <w:tr w:rsidR="00106B96" w:rsidRPr="00C724D0" w:rsidTr="0055733C">
        <w:trPr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C724D0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106B96" w:rsidRPr="00C724D0" w:rsidRDefault="00106B96" w:rsidP="005573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4D0">
              <w:rPr>
                <w:b/>
                <w:bCs/>
                <w:color w:val="000000"/>
                <w:sz w:val="20"/>
                <w:szCs w:val="20"/>
              </w:rPr>
              <w:t xml:space="preserve">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решение о бюджете от </w:t>
            </w:r>
            <w:r>
              <w:rPr>
                <w:b/>
                <w:bCs/>
                <w:sz w:val="16"/>
                <w:szCs w:val="16"/>
              </w:rPr>
              <w:t>23</w:t>
            </w:r>
            <w:r w:rsidRPr="0087652B">
              <w:rPr>
                <w:b/>
                <w:bCs/>
                <w:sz w:val="16"/>
                <w:szCs w:val="16"/>
              </w:rPr>
              <w:t>.12.2022 №</w:t>
            </w:r>
            <w:r>
              <w:rPr>
                <w:b/>
                <w:bCs/>
                <w:sz w:val="16"/>
                <w:szCs w:val="16"/>
              </w:rPr>
              <w:t>21</w:t>
            </w:r>
          </w:p>
          <w:p w:rsidR="00106B96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 измен.)</w:t>
            </w:r>
          </w:p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 xml:space="preserve">ПРОЕКТ решение о бюджете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r w:rsidRPr="0087652B">
              <w:rPr>
                <w:b/>
                <w:bCs/>
                <w:sz w:val="16"/>
                <w:szCs w:val="16"/>
              </w:rPr>
              <w:t xml:space="preserve">                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87652B">
              <w:rPr>
                <w:b/>
                <w:bCs/>
                <w:sz w:val="16"/>
                <w:szCs w:val="16"/>
              </w:rPr>
              <w:t>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6B96" w:rsidRPr="0087652B" w:rsidRDefault="00106B96" w:rsidP="0055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87652B">
              <w:rPr>
                <w:b/>
                <w:bCs/>
                <w:sz w:val="16"/>
                <w:szCs w:val="16"/>
              </w:rPr>
              <w:t>откл</w:t>
            </w:r>
            <w:r>
              <w:rPr>
                <w:b/>
                <w:bCs/>
                <w:sz w:val="16"/>
                <w:szCs w:val="16"/>
              </w:rPr>
              <w:t>онение</w:t>
            </w:r>
            <w:r w:rsidRPr="0087652B">
              <w:rPr>
                <w:b/>
                <w:bCs/>
                <w:sz w:val="16"/>
                <w:szCs w:val="16"/>
              </w:rPr>
              <w:t xml:space="preserve">                </w:t>
            </w:r>
            <w:proofErr w:type="gramStart"/>
            <w:r w:rsidRPr="0087652B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bCs/>
                <w:sz w:val="16"/>
                <w:szCs w:val="16"/>
              </w:rPr>
              <w:t>%</w:t>
            </w:r>
            <w:r w:rsidRPr="0087652B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5733C" w:rsidRPr="00C724D0" w:rsidTr="0055733C">
        <w:trPr>
          <w:trHeight w:val="47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100,9</w:t>
            </w:r>
          </w:p>
        </w:tc>
      </w:tr>
      <w:tr w:rsidR="0055733C" w:rsidRPr="00C724D0" w:rsidTr="0055733C">
        <w:trPr>
          <w:trHeight w:val="9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7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ED4F82">
        <w:trPr>
          <w:trHeight w:val="8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ED4F82">
        <w:trPr>
          <w:trHeight w:val="5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118,2</w:t>
            </w:r>
          </w:p>
        </w:tc>
      </w:tr>
      <w:tr w:rsidR="0055733C" w:rsidRPr="00C724D0" w:rsidTr="00ED4F82">
        <w:trPr>
          <w:trHeight w:val="6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154C0B">
        <w:trPr>
          <w:trHeight w:val="6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9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C724D0" w:rsidRDefault="0055733C" w:rsidP="005573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5733C" w:rsidRDefault="0055733C" w:rsidP="0055733C">
            <w:pPr>
              <w:rPr>
                <w:bCs/>
                <w:sz w:val="20"/>
                <w:szCs w:val="20"/>
              </w:rPr>
            </w:pPr>
            <w:r w:rsidRPr="0055733C">
              <w:rPr>
                <w:sz w:val="20"/>
                <w:szCs w:val="20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413632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5733C" w:rsidRPr="00C724D0" w:rsidRDefault="0055733C" w:rsidP="0055733C">
            <w:pPr>
              <w:jc w:val="center"/>
              <w:rPr>
                <w:sz w:val="20"/>
                <w:szCs w:val="20"/>
              </w:rPr>
            </w:pPr>
            <w:r w:rsidRPr="00C724D0">
              <w:rPr>
                <w:sz w:val="20"/>
                <w:szCs w:val="2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5733C" w:rsidRPr="00C724D0" w:rsidRDefault="0055733C" w:rsidP="0055733C">
            <w:pPr>
              <w:rPr>
                <w:b/>
                <w:bCs/>
                <w:sz w:val="20"/>
                <w:szCs w:val="20"/>
              </w:rPr>
            </w:pPr>
            <w:r w:rsidRPr="00C724D0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5733C" w:rsidRPr="00C724D0" w:rsidRDefault="0055733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5733C" w:rsidRPr="00C724D0" w:rsidRDefault="0055733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5733C" w:rsidRPr="00C724D0" w:rsidRDefault="0055733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55733C" w:rsidRPr="00CE7C30" w:rsidRDefault="0055733C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101,0</w:t>
            </w:r>
          </w:p>
        </w:tc>
      </w:tr>
      <w:tr w:rsidR="0055733C" w:rsidRPr="00C724D0" w:rsidTr="0055733C">
        <w:trPr>
          <w:trHeight w:val="264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Default="0055733C" w:rsidP="005573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Непрограммные расходы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E4248B" w:rsidRDefault="0055733C" w:rsidP="0055733C">
            <w:pPr>
              <w:rPr>
                <w:bCs/>
                <w:sz w:val="20"/>
                <w:szCs w:val="20"/>
              </w:rPr>
            </w:pPr>
            <w:r w:rsidRPr="00E4248B">
              <w:rPr>
                <w:bCs/>
                <w:sz w:val="20"/>
                <w:szCs w:val="20"/>
              </w:rPr>
              <w:t>Глава</w:t>
            </w:r>
            <w:r>
              <w:rPr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+90,7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113,5</w:t>
            </w:r>
          </w:p>
        </w:tc>
      </w:tr>
      <w:tr w:rsidR="0055733C" w:rsidRPr="003C3869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55733C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 w:rsidRPr="005573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9E3EBC" w:rsidRDefault="0055733C" w:rsidP="0055733C">
            <w:pPr>
              <w:rPr>
                <w:bCs/>
                <w:sz w:val="20"/>
                <w:szCs w:val="20"/>
              </w:rPr>
            </w:pPr>
            <w:r w:rsidRPr="009E3EBC">
              <w:rPr>
                <w:bCs/>
                <w:sz w:val="20"/>
                <w:szCs w:val="20"/>
              </w:rPr>
              <w:t xml:space="preserve">Резервный фонд Администрации </w:t>
            </w:r>
            <w:r>
              <w:rPr>
                <w:bCs/>
                <w:sz w:val="20"/>
                <w:szCs w:val="20"/>
              </w:rPr>
              <w:t>Семлевского</w:t>
            </w:r>
            <w:r w:rsidRPr="009E3EBC">
              <w:rPr>
                <w:bCs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C08B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C08B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C08B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5C08B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 w:rsidRPr="005C08BD"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E4248B" w:rsidRDefault="0055733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</w:p>
          <w:p w:rsidR="0055733C" w:rsidRPr="00C412B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 w:rsidRPr="004136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E4248B" w:rsidRDefault="0055733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Default="0055733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Расходы на проведение </w:t>
            </w:r>
            <w:proofErr w:type="spellStart"/>
            <w:r>
              <w:rPr>
                <w:bCs/>
                <w:sz w:val="20"/>
                <w:szCs w:val="20"/>
              </w:rPr>
              <w:t>деретизации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E4248B" w:rsidRDefault="0055733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C56AC4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C56AC4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413632" w:rsidRDefault="0055733C" w:rsidP="0055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33C" w:rsidRPr="00E4248B" w:rsidRDefault="0055733C" w:rsidP="00557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3C" w:rsidRPr="003A6CAD" w:rsidRDefault="0055733C" w:rsidP="005573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</w:tr>
      <w:tr w:rsidR="0055733C" w:rsidRPr="00C724D0" w:rsidTr="0055733C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5733C" w:rsidRPr="00C724D0" w:rsidRDefault="0055733C" w:rsidP="0055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5733C" w:rsidRPr="00C724D0" w:rsidRDefault="0055733C" w:rsidP="005573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733C" w:rsidRPr="00C724D0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109,9</w:t>
            </w:r>
          </w:p>
        </w:tc>
      </w:tr>
      <w:tr w:rsidR="0055733C" w:rsidRPr="00C724D0" w:rsidTr="0055733C">
        <w:trPr>
          <w:trHeight w:val="26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733C" w:rsidRPr="00C724D0" w:rsidRDefault="0055733C" w:rsidP="005573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28 680,7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33C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+431,4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733C" w:rsidRPr="00C724D0" w:rsidRDefault="00C56AC4" w:rsidP="005573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</w:t>
            </w:r>
          </w:p>
        </w:tc>
      </w:tr>
    </w:tbl>
    <w:p w:rsidR="00106B96" w:rsidRDefault="00106B96" w:rsidP="00106B9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387" w:rsidRPr="00DB251A" w:rsidRDefault="00856387" w:rsidP="008563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4F81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432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6387" w:rsidRDefault="00856387" w:rsidP="00856387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 w:rsidR="002C2541"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80,7 </w:t>
      </w:r>
      <w:r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2C2541">
        <w:rPr>
          <w:rFonts w:ascii="Times New Roman" w:hAnsi="Times New Roman" w:cs="Times New Roman"/>
          <w:bCs/>
          <w:sz w:val="28"/>
          <w:szCs w:val="28"/>
        </w:rPr>
        <w:t xml:space="preserve"> и «Комплексное развитие систем коммунальной инфраструктуры Семлевского сельского поселения Вяземского района Смоленской области» на </w:t>
      </w:r>
      <w:r w:rsidR="002C2541">
        <w:rPr>
          <w:rFonts w:ascii="Times New Roman" w:hAnsi="Times New Roman" w:cs="Times New Roman"/>
          <w:b/>
          <w:bCs/>
          <w:sz w:val="28"/>
          <w:szCs w:val="28"/>
        </w:rPr>
        <w:t xml:space="preserve">200,0 </w:t>
      </w:r>
      <w:proofErr w:type="spellStart"/>
      <w:r w:rsidR="002C2541">
        <w:rPr>
          <w:rFonts w:ascii="Times New Roman" w:hAnsi="Times New Roman" w:cs="Times New Roman"/>
          <w:bCs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06B96" w:rsidRDefault="00856387" w:rsidP="00106B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C254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Pr="00AC6378">
        <w:rPr>
          <w:rFonts w:ascii="Times New Roman" w:hAnsi="Times New Roman" w:cs="Times New Roman"/>
          <w:sz w:val="28"/>
          <w:szCs w:val="28"/>
        </w:rPr>
        <w:t>.</w:t>
      </w:r>
    </w:p>
    <w:p w:rsidR="002B632D" w:rsidRDefault="002B632D" w:rsidP="002B6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Непрограммные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F7556">
        <w:rPr>
          <w:rFonts w:ascii="Times New Roman" w:hAnsi="Times New Roman" w:cs="Times New Roman"/>
          <w:b/>
          <w:sz w:val="28"/>
          <w:szCs w:val="28"/>
        </w:rPr>
        <w:t>679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DF755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F7556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0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32D" w:rsidRDefault="002B632D" w:rsidP="002B6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на </w:t>
      </w:r>
      <w:r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по межбюджетным трансфертам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Pr="006F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68D7">
        <w:rPr>
          <w:rFonts w:ascii="Times New Roman" w:hAnsi="Times New Roman" w:cs="Times New Roman"/>
          <w:sz w:val="28"/>
          <w:szCs w:val="28"/>
        </w:rPr>
        <w:t xml:space="preserve"> предлагаются</w:t>
      </w:r>
      <w:r>
        <w:rPr>
          <w:rFonts w:ascii="Times New Roman" w:hAnsi="Times New Roman" w:cs="Times New Roman"/>
          <w:sz w:val="28"/>
          <w:szCs w:val="28"/>
        </w:rPr>
        <w:t xml:space="preserve"> к утверждению без изменений.</w:t>
      </w:r>
    </w:p>
    <w:p w:rsidR="002B632D" w:rsidRDefault="00F61EBD" w:rsidP="00C06F18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Однако </w:t>
      </w:r>
      <w:r w:rsidRPr="00FD33A9">
        <w:rPr>
          <w:sz w:val="28"/>
          <w:szCs w:val="28"/>
        </w:rPr>
        <w:t xml:space="preserve"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№7 «Нормативы </w:t>
      </w:r>
      <w:r w:rsidRPr="00FD33A9">
        <w:rPr>
          <w:color w:val="000000"/>
          <w:sz w:val="28"/>
          <w:szCs w:val="28"/>
        </w:rPr>
        <w:t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сельских поселений Смоленской области, должностям муниципальной службы в контрольно-счетных органах сельских поселений Смоленской области».</w:t>
      </w:r>
    </w:p>
    <w:p w:rsidR="00C06F18" w:rsidRPr="00FD33A9" w:rsidRDefault="00C06F18" w:rsidP="00C06F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8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C06F18" w:rsidRPr="00FD33A9" w:rsidRDefault="00C06F18" w:rsidP="00C06F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Согласно статье 2 областного закона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0F7D33" w:rsidRPr="00FD33A9" w:rsidRDefault="000F7D33" w:rsidP="000F7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0F7D33" w:rsidRDefault="000F7D33" w:rsidP="000F7D33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DF7556" w:rsidRPr="00FD33A9" w:rsidRDefault="00DF7556" w:rsidP="00DF755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DF7556" w:rsidRPr="00FD33A9" w:rsidRDefault="00DF7556" w:rsidP="00DF755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заключить дополнительное соглашение к Соглашению 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DF7556" w:rsidRPr="00FD33A9" w:rsidRDefault="00DF7556" w:rsidP="00DF7556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внести изменения в решение от </w:t>
      </w:r>
      <w:r w:rsidR="008F0561">
        <w:rPr>
          <w:sz w:val="28"/>
          <w:szCs w:val="28"/>
        </w:rPr>
        <w:t>23</w:t>
      </w:r>
      <w:r w:rsidRPr="00FD33A9">
        <w:rPr>
          <w:sz w:val="28"/>
          <w:szCs w:val="28"/>
        </w:rPr>
        <w:t xml:space="preserve">.12.2022 № </w:t>
      </w:r>
      <w:r w:rsidR="008F0561">
        <w:rPr>
          <w:sz w:val="28"/>
          <w:szCs w:val="28"/>
        </w:rPr>
        <w:t>21</w:t>
      </w:r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044803" w:rsidRPr="00DB251A" w:rsidRDefault="004816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08BE">
        <w:rPr>
          <w:rFonts w:ascii="Times New Roman" w:hAnsi="Times New Roman" w:cs="Times New Roman"/>
          <w:b/>
          <w:sz w:val="28"/>
          <w:szCs w:val="28"/>
        </w:rPr>
        <w:t>3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DC0D5D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428,8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</w:t>
      </w:r>
      <w:r w:rsidR="005178E4">
        <w:rPr>
          <w:rFonts w:ascii="Times New Roman" w:hAnsi="Times New Roman" w:cs="Times New Roman"/>
          <w:sz w:val="28"/>
          <w:szCs w:val="28"/>
        </w:rPr>
        <w:t xml:space="preserve"> на </w:t>
      </w:r>
      <w:r w:rsidR="005178E4" w:rsidRPr="005178E4">
        <w:rPr>
          <w:rFonts w:ascii="Times New Roman" w:hAnsi="Times New Roman" w:cs="Times New Roman"/>
          <w:b/>
          <w:sz w:val="28"/>
          <w:szCs w:val="28"/>
        </w:rPr>
        <w:t>2023</w:t>
      </w:r>
      <w:r w:rsidR="005178E4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4816AF">
        <w:rPr>
          <w:rFonts w:ascii="Times New Roman" w:hAnsi="Times New Roman" w:cs="Times New Roman"/>
          <w:b/>
          <w:sz w:val="28"/>
          <w:szCs w:val="28"/>
        </w:rPr>
        <w:t>28</w:t>
      </w:r>
      <w:r w:rsidR="007408BE">
        <w:rPr>
          <w:rFonts w:ascii="Times New Roman" w:hAnsi="Times New Roman" w:cs="Times New Roman"/>
          <w:b/>
          <w:sz w:val="28"/>
          <w:szCs w:val="28"/>
        </w:rPr>
        <w:t> </w:t>
      </w:r>
      <w:r w:rsidR="004816AF">
        <w:rPr>
          <w:rFonts w:ascii="Times New Roman" w:hAnsi="Times New Roman" w:cs="Times New Roman"/>
          <w:b/>
          <w:sz w:val="28"/>
          <w:szCs w:val="28"/>
        </w:rPr>
        <w:t>683</w:t>
      </w:r>
      <w:r w:rsidR="007408BE">
        <w:rPr>
          <w:rFonts w:ascii="Times New Roman" w:hAnsi="Times New Roman" w:cs="Times New Roman"/>
          <w:b/>
          <w:sz w:val="28"/>
          <w:szCs w:val="28"/>
        </w:rPr>
        <w:t>,</w:t>
      </w:r>
      <w:r w:rsidR="004816AF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4816AF">
        <w:rPr>
          <w:rFonts w:ascii="Times New Roman" w:hAnsi="Times New Roman" w:cs="Times New Roman"/>
          <w:b/>
          <w:sz w:val="28"/>
          <w:szCs w:val="28"/>
        </w:rPr>
        <w:t>29</w:t>
      </w:r>
      <w:r w:rsidR="007408BE">
        <w:rPr>
          <w:rFonts w:ascii="Times New Roman" w:hAnsi="Times New Roman" w:cs="Times New Roman"/>
          <w:b/>
          <w:sz w:val="28"/>
          <w:szCs w:val="28"/>
        </w:rPr>
        <w:t> </w:t>
      </w:r>
      <w:r w:rsidR="004816AF">
        <w:rPr>
          <w:rFonts w:ascii="Times New Roman" w:hAnsi="Times New Roman" w:cs="Times New Roman"/>
          <w:b/>
          <w:sz w:val="28"/>
          <w:szCs w:val="28"/>
        </w:rPr>
        <w:t>112</w:t>
      </w:r>
      <w:r w:rsidR="007408BE">
        <w:rPr>
          <w:rFonts w:ascii="Times New Roman" w:hAnsi="Times New Roman" w:cs="Times New Roman"/>
          <w:b/>
          <w:sz w:val="28"/>
          <w:szCs w:val="28"/>
        </w:rPr>
        <w:t>,</w:t>
      </w:r>
      <w:r w:rsidR="004816AF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5178E4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B85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5361A" w:rsidRDefault="0015361A" w:rsidP="004223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44F">
        <w:rPr>
          <w:rFonts w:ascii="Times New Roman" w:hAnsi="Times New Roman" w:cs="Times New Roman"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C444F">
        <w:rPr>
          <w:rFonts w:ascii="Times New Roman" w:hAnsi="Times New Roman" w:cs="Times New Roman"/>
          <w:sz w:val="28"/>
          <w:szCs w:val="28"/>
        </w:rPr>
        <w:t>Согласно проекта</w:t>
      </w:r>
      <w:proofErr w:type="gramEnd"/>
      <w:r w:rsidRPr="001C444F">
        <w:rPr>
          <w:rFonts w:ascii="Times New Roman" w:hAnsi="Times New Roman" w:cs="Times New Roman"/>
          <w:sz w:val="28"/>
          <w:szCs w:val="28"/>
        </w:rPr>
        <w:t xml:space="preserve">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C444F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2023 год и плановый период 2024 и 2025 годов» </w:t>
      </w:r>
      <w:r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 2025 годов – не изменяются.</w:t>
      </w:r>
    </w:p>
    <w:p w:rsidR="00422306" w:rsidRPr="00DB251A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Pr="001C444F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из них: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20622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22306" w:rsidRPr="00DB251A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422306" w:rsidRDefault="00422306" w:rsidP="004223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>
        <w:rPr>
          <w:rFonts w:ascii="Times New Roman" w:hAnsi="Times New Roman" w:cs="Times New Roman"/>
          <w:b/>
          <w:sz w:val="28"/>
          <w:szCs w:val="28"/>
        </w:rPr>
        <w:t>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DA" w:rsidRDefault="00500FDA" w:rsidP="00500F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90C1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9 112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(или на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0628" w:rsidRDefault="00620628" w:rsidP="006206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432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280</w:t>
      </w:r>
      <w:r>
        <w:rPr>
          <w:rFonts w:ascii="Times New Roman" w:hAnsi="Times New Roman" w:cs="Times New Roman"/>
          <w:b/>
          <w:sz w:val="28"/>
          <w:szCs w:val="28"/>
        </w:rPr>
        <w:t xml:space="preserve">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11F29" w:rsidRDefault="00811F29" w:rsidP="00811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шести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Pr="00AC6378">
        <w:rPr>
          <w:rFonts w:ascii="Times New Roman" w:hAnsi="Times New Roman" w:cs="Times New Roman"/>
          <w:sz w:val="28"/>
          <w:szCs w:val="28"/>
        </w:rPr>
        <w:t>.</w:t>
      </w:r>
    </w:p>
    <w:p w:rsidR="00811F29" w:rsidRDefault="00811F29" w:rsidP="00811F2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программ: </w:t>
      </w:r>
      <w:r w:rsidRPr="003C3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80,7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 и «Комплексное развитие систем коммунальной инфраструктуры Семлевского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200,0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719A" w:rsidRDefault="0032719A" w:rsidP="003271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677AEC" w:rsidRDefault="00677AEC" w:rsidP="00677A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</w:t>
      </w:r>
      <w:r>
        <w:rPr>
          <w:rFonts w:ascii="Times New Roman" w:hAnsi="Times New Roman" w:cs="Times New Roman"/>
          <w:b/>
          <w:sz w:val="28"/>
          <w:szCs w:val="28"/>
        </w:rPr>
        <w:t>679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150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77AEC" w:rsidRDefault="00677AEC" w:rsidP="00677A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57">
        <w:rPr>
          <w:rFonts w:ascii="Times New Roman" w:hAnsi="Times New Roman" w:cs="Times New Roman"/>
          <w:b/>
          <w:sz w:val="28"/>
          <w:szCs w:val="28"/>
          <w:u w:val="single"/>
        </w:rPr>
        <w:t>Непрограммные расходы на 2023 год по межбюджетным трансфертам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Pr="006F33D1">
        <w:rPr>
          <w:rFonts w:ascii="Times New Roman" w:hAnsi="Times New Roman" w:cs="Times New Roman"/>
          <w:iCs/>
          <w:color w:val="000000"/>
          <w:sz w:val="28"/>
          <w:szCs w:val="28"/>
        </w:rPr>
        <w:t>на осуществление передачи полномочий по организации и деятельности Контрольно-ревизионной комиссии</w:t>
      </w:r>
      <w:r w:rsidRPr="006F3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68D7">
        <w:rPr>
          <w:rFonts w:ascii="Times New Roman" w:hAnsi="Times New Roman" w:cs="Times New Roman"/>
          <w:sz w:val="28"/>
          <w:szCs w:val="28"/>
        </w:rPr>
        <w:t xml:space="preserve"> </w:t>
      </w:r>
      <w:r w:rsidRPr="00032BD6">
        <w:rPr>
          <w:rFonts w:ascii="Times New Roman" w:hAnsi="Times New Roman" w:cs="Times New Roman"/>
          <w:b/>
          <w:sz w:val="28"/>
          <w:szCs w:val="28"/>
          <w:u w:val="single"/>
        </w:rPr>
        <w:t>предлагаются к утверждению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7E0" w:rsidRPr="00FD33A9" w:rsidRDefault="00B727E0" w:rsidP="00B727E0">
      <w:pPr>
        <w:tabs>
          <w:tab w:val="left" w:pos="851"/>
        </w:tabs>
        <w:spacing w:after="6"/>
        <w:ind w:right="-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FD33A9">
        <w:rPr>
          <w:sz w:val="28"/>
          <w:szCs w:val="28"/>
        </w:rPr>
        <w:t xml:space="preserve">Постановлением Администрации Смоленской области от 14.07.2023 №395 внесены изменения в Постановление Администрации Смоленской области от 08.10.2014 №691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а именно в Приложение №7 «Нормативы </w:t>
      </w:r>
      <w:r w:rsidRPr="00FD33A9">
        <w:rPr>
          <w:color w:val="000000"/>
          <w:sz w:val="28"/>
          <w:szCs w:val="28"/>
        </w:rPr>
        <w:t>размеров должностных окладов по муниципальным должностям депутатов, выборных должностных лиц местного самоуправления, осуществляющих свои полномочия на постоянной основе, должностям муниципальной службы в исполнительно-распорядительных органах сельских поселений Смоленской области, должностям муниципальной службы в контрольно-счетных органах сельских поселений Смоленской области».</w:t>
      </w:r>
    </w:p>
    <w:p w:rsidR="003D761C" w:rsidRPr="00FD33A9" w:rsidRDefault="003D761C" w:rsidP="003D7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При этом, </w:t>
      </w:r>
      <w:hyperlink r:id="rId9" w:history="1">
        <w:r w:rsidRPr="00FD33A9">
          <w:rPr>
            <w:sz w:val="28"/>
            <w:szCs w:val="28"/>
          </w:rPr>
          <w:t>норматив</w:t>
        </w:r>
      </w:hyperlink>
      <w:r w:rsidRPr="00FD33A9">
        <w:rPr>
          <w:sz w:val="28"/>
          <w:szCs w:val="28"/>
        </w:rPr>
        <w:t xml:space="preserve">ы размеров должностных окладов по муниципальным должностям контрольно-счетных органов муниципальных районов Постановлением Администрации Смоленской области от 08.10.2014 №691 не предусмотрены. </w:t>
      </w:r>
    </w:p>
    <w:p w:rsidR="00B727E0" w:rsidRDefault="00745AA1" w:rsidP="00745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Согласно статье 2 областного закона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Start"/>
      <w:r w:rsidRPr="00FD33A9">
        <w:rPr>
          <w:sz w:val="28"/>
          <w:szCs w:val="28"/>
        </w:rPr>
        <w:t>»</w:t>
      </w:r>
      <w:proofErr w:type="gramEnd"/>
      <w:r w:rsidRPr="00FD33A9">
        <w:rPr>
          <w:sz w:val="28"/>
          <w:szCs w:val="28"/>
        </w:rPr>
        <w:t xml:space="preserve"> </w:t>
      </w:r>
      <w:r w:rsidRPr="00FD33A9">
        <w:rPr>
          <w:i/>
          <w:sz w:val="28"/>
          <w:szCs w:val="28"/>
        </w:rPr>
        <w:t>размер должностного оклада, а также размер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Смоленской области</w:t>
      </w:r>
      <w:r w:rsidRPr="00FD33A9">
        <w:rPr>
          <w:sz w:val="28"/>
          <w:szCs w:val="28"/>
        </w:rPr>
        <w:t>.</w:t>
      </w:r>
    </w:p>
    <w:p w:rsidR="00745AA1" w:rsidRPr="00FD33A9" w:rsidRDefault="00745AA1" w:rsidP="00745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Согласно пункту 8 части 10 статьи 35 Федерального закона от 06.10.2003 №131-ФЗ </w:t>
      </w:r>
      <w:r w:rsidRPr="00FD33A9">
        <w:rPr>
          <w:i/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 находятся в исключительной компетенции представительного органа муниципального образования</w:t>
      </w:r>
      <w:r w:rsidRPr="00FD33A9">
        <w:rPr>
          <w:sz w:val="28"/>
          <w:szCs w:val="28"/>
        </w:rPr>
        <w:t>.</w:t>
      </w:r>
    </w:p>
    <w:p w:rsidR="00745AA1" w:rsidRDefault="00745AA1" w:rsidP="00745AA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Исходя из вышесказанного,</w:t>
      </w:r>
      <w:r>
        <w:rPr>
          <w:sz w:val="28"/>
          <w:szCs w:val="28"/>
        </w:rPr>
        <w:t xml:space="preserve"> Контрольно-ревизионная комиссия муниципального образования «Вяземский район» Смоленской области</w:t>
      </w:r>
      <w:r w:rsidRPr="00FD33A9">
        <w:rPr>
          <w:sz w:val="28"/>
          <w:szCs w:val="28"/>
        </w:rPr>
        <w:t xml:space="preserve"> предлагает внести изменения в нормативно-правовые акты сельского поселения, касающиеся контрольно-</w:t>
      </w:r>
      <w:r>
        <w:rPr>
          <w:sz w:val="28"/>
          <w:szCs w:val="28"/>
        </w:rPr>
        <w:t>счетного органа</w:t>
      </w:r>
      <w:r w:rsidRPr="00FD33A9">
        <w:rPr>
          <w:sz w:val="28"/>
          <w:szCs w:val="28"/>
        </w:rPr>
        <w:t>:</w:t>
      </w:r>
    </w:p>
    <w:p w:rsidR="00745AA1" w:rsidRPr="00FD33A9" w:rsidRDefault="00745AA1" w:rsidP="00745AA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745AA1" w:rsidRPr="00FD33A9" w:rsidRDefault="00745AA1" w:rsidP="00745AA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lastRenderedPageBreak/>
        <w:t xml:space="preserve">- заключить дополнительное соглашение к Соглашению 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745AA1" w:rsidRPr="00FD33A9" w:rsidRDefault="00745AA1" w:rsidP="00745AA1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внести изменения в решение от </w:t>
      </w:r>
      <w:r>
        <w:rPr>
          <w:sz w:val="28"/>
          <w:szCs w:val="28"/>
        </w:rPr>
        <w:t>23</w:t>
      </w:r>
      <w:r w:rsidRPr="00FD33A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21</w:t>
      </w:r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745AA1" w:rsidRDefault="00745AA1" w:rsidP="00745A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непрограммные расходы на </w:t>
      </w:r>
      <w:r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112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862B1C" w:rsidRDefault="00862B1C" w:rsidP="00862B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B1C" w:rsidRPr="004A59C0" w:rsidRDefault="00862B1C" w:rsidP="00745A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992" w:rsidRPr="00FD33A9" w:rsidRDefault="007D1992" w:rsidP="00DA237B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DA237B">
        <w:rPr>
          <w:rFonts w:ascii="Times New Roman" w:hAnsi="Times New Roman" w:cs="Times New Roman"/>
          <w:sz w:val="28"/>
          <w:szCs w:val="28"/>
        </w:rPr>
        <w:t xml:space="preserve"> </w:t>
      </w:r>
      <w:r w:rsidR="00DA237B" w:rsidRPr="00DA237B">
        <w:rPr>
          <w:rFonts w:ascii="Times New Roman" w:hAnsi="Times New Roman" w:cs="Times New Roman"/>
          <w:sz w:val="28"/>
          <w:szCs w:val="28"/>
        </w:rPr>
        <w:t>в</w:t>
      </w:r>
      <w:r w:rsidRPr="00DA237B">
        <w:rPr>
          <w:rFonts w:ascii="Times New Roman" w:hAnsi="Times New Roman" w:cs="Times New Roman"/>
          <w:sz w:val="28"/>
          <w:szCs w:val="28"/>
        </w:rPr>
        <w:t>нести изменения в нормативно-правовые акты сельского поселения, касающиеся контрольно-счетного органа:</w:t>
      </w:r>
    </w:p>
    <w:p w:rsidR="007D1992" w:rsidRPr="00FD33A9" w:rsidRDefault="007D1992" w:rsidP="007D1992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пересмотреть размер должностного оклада председателя Контрольно-ревизионной комиссии сельского поселения;</w:t>
      </w:r>
    </w:p>
    <w:p w:rsidR="007D1992" w:rsidRPr="00FD33A9" w:rsidRDefault="007D1992" w:rsidP="007D1992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 xml:space="preserve">- заключить дополнительное соглашение к Соглашению № </w:t>
      </w:r>
      <w:r w:rsidR="00DA237B">
        <w:rPr>
          <w:sz w:val="28"/>
          <w:szCs w:val="28"/>
        </w:rPr>
        <w:t>6</w:t>
      </w:r>
      <w:r>
        <w:rPr>
          <w:sz w:val="28"/>
          <w:szCs w:val="28"/>
        </w:rPr>
        <w:t xml:space="preserve"> о передаче полномочий по осуществлению внешнего муниципального контроля</w:t>
      </w:r>
      <w:r w:rsidRPr="00FD33A9">
        <w:rPr>
          <w:sz w:val="28"/>
          <w:szCs w:val="28"/>
        </w:rPr>
        <w:t xml:space="preserve"> от </w:t>
      </w:r>
      <w:r w:rsidR="00DA237B">
        <w:rPr>
          <w:sz w:val="28"/>
          <w:szCs w:val="28"/>
        </w:rPr>
        <w:t>13</w:t>
      </w:r>
      <w:r w:rsidRPr="00FD33A9">
        <w:rPr>
          <w:sz w:val="28"/>
          <w:szCs w:val="28"/>
        </w:rPr>
        <w:t xml:space="preserve">.12.2021 г., в </w:t>
      </w:r>
      <w:r>
        <w:rPr>
          <w:sz w:val="28"/>
          <w:szCs w:val="28"/>
        </w:rPr>
        <w:t xml:space="preserve">части </w:t>
      </w:r>
      <w:r w:rsidRPr="00FD33A9">
        <w:rPr>
          <w:sz w:val="28"/>
          <w:szCs w:val="28"/>
        </w:rPr>
        <w:t>увеличения объема межбюджетного трансферта на 2023 год;</w:t>
      </w:r>
    </w:p>
    <w:p w:rsidR="007D1992" w:rsidRPr="00FD33A9" w:rsidRDefault="007D1992" w:rsidP="007D1992">
      <w:pPr>
        <w:tabs>
          <w:tab w:val="left" w:pos="851"/>
        </w:tabs>
        <w:spacing w:after="6"/>
        <w:ind w:right="-2" w:firstLine="851"/>
        <w:jc w:val="both"/>
        <w:rPr>
          <w:sz w:val="28"/>
          <w:szCs w:val="28"/>
        </w:rPr>
      </w:pPr>
      <w:r w:rsidRPr="00FD33A9">
        <w:rPr>
          <w:sz w:val="28"/>
          <w:szCs w:val="28"/>
        </w:rPr>
        <w:t>- внести изменения в решение от 2</w:t>
      </w:r>
      <w:r w:rsidR="00DA237B">
        <w:rPr>
          <w:sz w:val="28"/>
          <w:szCs w:val="28"/>
        </w:rPr>
        <w:t>3</w:t>
      </w:r>
      <w:r w:rsidRPr="00FD33A9">
        <w:rPr>
          <w:sz w:val="28"/>
          <w:szCs w:val="28"/>
        </w:rPr>
        <w:t xml:space="preserve">.12.2022 № </w:t>
      </w:r>
      <w:r w:rsidR="00DA237B">
        <w:rPr>
          <w:sz w:val="28"/>
          <w:szCs w:val="28"/>
        </w:rPr>
        <w:t>21</w:t>
      </w:r>
      <w:r w:rsidRPr="00FD33A9">
        <w:rPr>
          <w:sz w:val="28"/>
          <w:szCs w:val="28"/>
        </w:rPr>
        <w:t>, 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комиссии.</w:t>
      </w: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6" w:rsidRDefault="00182BE6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6" w:rsidRDefault="00182BE6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6" w:rsidRDefault="00182BE6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6" w:rsidRDefault="00182BE6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82BE6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82BE6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7D1992" w:rsidRPr="000912C9" w:rsidRDefault="007D1992" w:rsidP="007D1992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D1992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A764F3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7D1992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D1992">
        <w:rPr>
          <w:rFonts w:ascii="Times New Roman" w:hAnsi="Times New Roman" w:cs="Times New Roman"/>
          <w:sz w:val="28"/>
          <w:szCs w:val="28"/>
        </w:rPr>
        <w:t>М</w:t>
      </w:r>
      <w:r w:rsidR="007408BE">
        <w:rPr>
          <w:rFonts w:ascii="Times New Roman" w:hAnsi="Times New Roman" w:cs="Times New Roman"/>
          <w:sz w:val="28"/>
          <w:szCs w:val="28"/>
        </w:rPr>
        <w:t>.</w:t>
      </w:r>
      <w:r w:rsidR="007D1992">
        <w:rPr>
          <w:rFonts w:ascii="Times New Roman" w:hAnsi="Times New Roman" w:cs="Times New Roman"/>
          <w:sz w:val="28"/>
          <w:szCs w:val="28"/>
        </w:rPr>
        <w:t>М</w:t>
      </w:r>
      <w:r w:rsidR="007408BE">
        <w:rPr>
          <w:rFonts w:ascii="Times New Roman" w:hAnsi="Times New Roman" w:cs="Times New Roman"/>
          <w:sz w:val="28"/>
          <w:szCs w:val="28"/>
        </w:rPr>
        <w:t xml:space="preserve">. </w:t>
      </w:r>
      <w:r w:rsidR="007D1992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758" w:rsidRDefault="003C0758" w:rsidP="00482AB3">
      <w:r>
        <w:separator/>
      </w:r>
    </w:p>
  </w:endnote>
  <w:endnote w:type="continuationSeparator" w:id="0">
    <w:p w:rsidR="003C0758" w:rsidRDefault="003C075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243197"/>
      <w:docPartObj>
        <w:docPartGallery w:val="Page Numbers (Bottom of Page)"/>
        <w:docPartUnique/>
      </w:docPartObj>
    </w:sdtPr>
    <w:sdtContent>
      <w:p w:rsidR="0055733C" w:rsidRDefault="0055733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D5">
          <w:rPr>
            <w:noProof/>
          </w:rPr>
          <w:t>14</w:t>
        </w:r>
        <w:r>
          <w:fldChar w:fldCharType="end"/>
        </w:r>
      </w:p>
    </w:sdtContent>
  </w:sdt>
  <w:p w:rsidR="0055733C" w:rsidRDefault="005573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758" w:rsidRDefault="003C0758" w:rsidP="00482AB3">
      <w:r>
        <w:separator/>
      </w:r>
    </w:p>
  </w:footnote>
  <w:footnote w:type="continuationSeparator" w:id="0">
    <w:p w:rsidR="003C0758" w:rsidRDefault="003C075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5A3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ED6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4A76"/>
    <w:rsid w:val="000C5316"/>
    <w:rsid w:val="000C5A11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D33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6B9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4C84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361A"/>
    <w:rsid w:val="00154C0B"/>
    <w:rsid w:val="001551F3"/>
    <w:rsid w:val="00156469"/>
    <w:rsid w:val="001575B2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2BE6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02E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2D0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6C2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32D"/>
    <w:rsid w:val="002B7277"/>
    <w:rsid w:val="002B79B0"/>
    <w:rsid w:val="002C254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2719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2902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A14"/>
    <w:rsid w:val="003B748C"/>
    <w:rsid w:val="003C0758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61C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306"/>
    <w:rsid w:val="00422866"/>
    <w:rsid w:val="00423A41"/>
    <w:rsid w:val="004241F7"/>
    <w:rsid w:val="00424831"/>
    <w:rsid w:val="00425684"/>
    <w:rsid w:val="00427232"/>
    <w:rsid w:val="00427C0C"/>
    <w:rsid w:val="0043009A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6AF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79E"/>
    <w:rsid w:val="004D7900"/>
    <w:rsid w:val="004E3A59"/>
    <w:rsid w:val="004E3AE8"/>
    <w:rsid w:val="004E4061"/>
    <w:rsid w:val="004F2D8C"/>
    <w:rsid w:val="004F3681"/>
    <w:rsid w:val="004F4656"/>
    <w:rsid w:val="004F6559"/>
    <w:rsid w:val="00500FDA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950"/>
    <w:rsid w:val="00522F88"/>
    <w:rsid w:val="005247F6"/>
    <w:rsid w:val="00524FB0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5733C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66A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B57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4605"/>
    <w:rsid w:val="00605C2A"/>
    <w:rsid w:val="00612628"/>
    <w:rsid w:val="00613C44"/>
    <w:rsid w:val="00613CDD"/>
    <w:rsid w:val="00614C2D"/>
    <w:rsid w:val="00615044"/>
    <w:rsid w:val="00616F7C"/>
    <w:rsid w:val="00620628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1C4A"/>
    <w:rsid w:val="006733A8"/>
    <w:rsid w:val="00674002"/>
    <w:rsid w:val="006747DA"/>
    <w:rsid w:val="00676526"/>
    <w:rsid w:val="006777DD"/>
    <w:rsid w:val="0067783A"/>
    <w:rsid w:val="00677AEC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272A1"/>
    <w:rsid w:val="0073222B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AA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6C6F"/>
    <w:rsid w:val="007C728A"/>
    <w:rsid w:val="007C7338"/>
    <w:rsid w:val="007D0125"/>
    <w:rsid w:val="007D0DDA"/>
    <w:rsid w:val="007D16A1"/>
    <w:rsid w:val="007D1992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1F29"/>
    <w:rsid w:val="0081385E"/>
    <w:rsid w:val="008139F9"/>
    <w:rsid w:val="00817266"/>
    <w:rsid w:val="00821A1B"/>
    <w:rsid w:val="0082244D"/>
    <w:rsid w:val="00824A2E"/>
    <w:rsid w:val="00830E5C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387"/>
    <w:rsid w:val="00862B1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198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47E"/>
    <w:rsid w:val="008E5936"/>
    <w:rsid w:val="008E600F"/>
    <w:rsid w:val="008E631E"/>
    <w:rsid w:val="008E6FC7"/>
    <w:rsid w:val="008F0561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579"/>
    <w:rsid w:val="00975681"/>
    <w:rsid w:val="0097572E"/>
    <w:rsid w:val="00977CF2"/>
    <w:rsid w:val="00981137"/>
    <w:rsid w:val="009855AC"/>
    <w:rsid w:val="0098711E"/>
    <w:rsid w:val="00990304"/>
    <w:rsid w:val="009903D2"/>
    <w:rsid w:val="00993052"/>
    <w:rsid w:val="00993096"/>
    <w:rsid w:val="009936E6"/>
    <w:rsid w:val="00994592"/>
    <w:rsid w:val="00994F1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6BB"/>
    <w:rsid w:val="00A03115"/>
    <w:rsid w:val="00A05F3D"/>
    <w:rsid w:val="00A118C7"/>
    <w:rsid w:val="00A12967"/>
    <w:rsid w:val="00A14650"/>
    <w:rsid w:val="00A15A17"/>
    <w:rsid w:val="00A15DA9"/>
    <w:rsid w:val="00A162EB"/>
    <w:rsid w:val="00A17A5A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64F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645B"/>
    <w:rsid w:val="00AC7BE9"/>
    <w:rsid w:val="00AD014C"/>
    <w:rsid w:val="00AD1188"/>
    <w:rsid w:val="00AD3FCF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153A4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217"/>
    <w:rsid w:val="00B45E7D"/>
    <w:rsid w:val="00B46EA0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7E0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6F18"/>
    <w:rsid w:val="00C074AF"/>
    <w:rsid w:val="00C10835"/>
    <w:rsid w:val="00C10ECA"/>
    <w:rsid w:val="00C11304"/>
    <w:rsid w:val="00C11C56"/>
    <w:rsid w:val="00C11EC3"/>
    <w:rsid w:val="00C1257B"/>
    <w:rsid w:val="00C1351D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5DD5"/>
    <w:rsid w:val="00C564E9"/>
    <w:rsid w:val="00C56AC4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7B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3709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4489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556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26E"/>
    <w:rsid w:val="00E11E4B"/>
    <w:rsid w:val="00E12405"/>
    <w:rsid w:val="00E145B7"/>
    <w:rsid w:val="00E1736D"/>
    <w:rsid w:val="00E215F4"/>
    <w:rsid w:val="00E21B2B"/>
    <w:rsid w:val="00E22479"/>
    <w:rsid w:val="00E22621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4F82"/>
    <w:rsid w:val="00ED5291"/>
    <w:rsid w:val="00ED5C71"/>
    <w:rsid w:val="00EE0062"/>
    <w:rsid w:val="00EE0388"/>
    <w:rsid w:val="00EE0AF0"/>
    <w:rsid w:val="00EE29FC"/>
    <w:rsid w:val="00EE35C4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409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3799A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EBD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606C77AFF0358F2E088F4B4AC16A8ACE6A0F45FDC77DEECD9B93F007883006AAB413707E449339EB90739759D73A3103431BFE867C64FF4C8F980Y5T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A606C77AFF0358F2E088F4B4AC16A8ACE6A0F45FDC77DEECD9B93F007883006AAB413707E449339EB90739759D73A3103431BFE867C64FF4C8F980Y5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A914-54AF-4C70-9EE3-C8D5C15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66</cp:revision>
  <cp:lastPrinted>2023-09-21T11:58:00Z</cp:lastPrinted>
  <dcterms:created xsi:type="dcterms:W3CDTF">2023-09-21T06:30:00Z</dcterms:created>
  <dcterms:modified xsi:type="dcterms:W3CDTF">2023-09-21T12:36:00Z</dcterms:modified>
</cp:coreProperties>
</file>