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1277BB">
        <w:rPr>
          <w:rFonts w:ascii="Times New Roman" w:hAnsi="Times New Roman" w:cs="Times New Roman"/>
          <w:b/>
          <w:sz w:val="28"/>
          <w:szCs w:val="28"/>
        </w:rPr>
        <w:t>23</w:t>
      </w:r>
      <w:r w:rsidR="007D5CE7">
        <w:rPr>
          <w:rFonts w:ascii="Times New Roman" w:hAnsi="Times New Roman" w:cs="Times New Roman"/>
          <w:b/>
          <w:sz w:val="28"/>
          <w:szCs w:val="28"/>
        </w:rPr>
        <w:t>.12.202</w:t>
      </w:r>
      <w:r w:rsidR="001277BB">
        <w:rPr>
          <w:rFonts w:ascii="Times New Roman" w:hAnsi="Times New Roman" w:cs="Times New Roman"/>
          <w:b/>
          <w:sz w:val="28"/>
          <w:szCs w:val="28"/>
        </w:rPr>
        <w:t>2</w:t>
      </w:r>
      <w:r w:rsidR="007D5CE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77BB">
        <w:rPr>
          <w:rFonts w:ascii="Times New Roman" w:hAnsi="Times New Roman" w:cs="Times New Roman"/>
          <w:b/>
          <w:sz w:val="28"/>
          <w:szCs w:val="28"/>
        </w:rPr>
        <w:t>2</w:t>
      </w:r>
      <w:r w:rsidR="0076302A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77BB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77BB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277BB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C7">
        <w:rPr>
          <w:rFonts w:ascii="Times New Roman" w:hAnsi="Times New Roman" w:cs="Times New Roman"/>
          <w:sz w:val="28"/>
          <w:szCs w:val="28"/>
        </w:rPr>
        <w:t>2</w:t>
      </w:r>
      <w:r w:rsidR="00DC26A4">
        <w:rPr>
          <w:rFonts w:ascii="Times New Roman" w:hAnsi="Times New Roman" w:cs="Times New Roman"/>
          <w:sz w:val="28"/>
          <w:szCs w:val="28"/>
        </w:rPr>
        <w:t>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B96F0A">
        <w:rPr>
          <w:rFonts w:ascii="Times New Roman" w:hAnsi="Times New Roman" w:cs="Times New Roman"/>
          <w:sz w:val="28"/>
          <w:szCs w:val="28"/>
        </w:rPr>
        <w:t>12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F14409" w:rsidP="00F14409">
      <w:pPr>
        <w:pStyle w:val="a3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4409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E1F24" w:rsidRPr="00AC09EE">
        <w:rPr>
          <w:rFonts w:ascii="Times New Roman" w:hAnsi="Times New Roman" w:cs="Times New Roman"/>
          <w:sz w:val="28"/>
          <w:szCs w:val="28"/>
        </w:rPr>
        <w:t>ст.265 Бюджетного кодекса 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2E1F24"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</w:t>
      </w:r>
      <w:r w:rsidR="00BA7F14">
        <w:rPr>
          <w:rFonts w:ascii="Times New Roman" w:hAnsi="Times New Roman"/>
          <w:sz w:val="28"/>
          <w:szCs w:val="28"/>
        </w:rPr>
        <w:t>13</w:t>
      </w:r>
      <w:r w:rsidR="00BA7F14" w:rsidRPr="00B75C17">
        <w:rPr>
          <w:rFonts w:ascii="Times New Roman" w:hAnsi="Times New Roman"/>
          <w:sz w:val="28"/>
          <w:szCs w:val="28"/>
        </w:rPr>
        <w:t>.</w:t>
      </w:r>
      <w:r w:rsidR="00BA7F14">
        <w:rPr>
          <w:rFonts w:ascii="Times New Roman" w:hAnsi="Times New Roman"/>
          <w:sz w:val="28"/>
          <w:szCs w:val="28"/>
        </w:rPr>
        <w:t>12</w:t>
      </w:r>
      <w:r w:rsidR="00BA7F14" w:rsidRPr="00B75C17">
        <w:rPr>
          <w:rFonts w:ascii="Times New Roman" w:hAnsi="Times New Roman"/>
          <w:sz w:val="28"/>
          <w:szCs w:val="28"/>
        </w:rPr>
        <w:t>.20</w:t>
      </w:r>
      <w:r w:rsidR="00BA7F14">
        <w:rPr>
          <w:rFonts w:ascii="Times New Roman" w:hAnsi="Times New Roman"/>
          <w:sz w:val="28"/>
          <w:szCs w:val="28"/>
        </w:rPr>
        <w:t>21</w:t>
      </w:r>
      <w:r w:rsidR="00BA7F14" w:rsidRPr="00B75C17">
        <w:rPr>
          <w:rFonts w:ascii="Times New Roman" w:hAnsi="Times New Roman"/>
          <w:sz w:val="28"/>
          <w:szCs w:val="28"/>
        </w:rPr>
        <w:t xml:space="preserve"> №</w:t>
      </w:r>
      <w:r w:rsidR="00BA7F14">
        <w:rPr>
          <w:rFonts w:ascii="Times New Roman" w:hAnsi="Times New Roman"/>
          <w:sz w:val="28"/>
          <w:szCs w:val="28"/>
        </w:rPr>
        <w:t xml:space="preserve">6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sz w:val="28"/>
          <w:szCs w:val="28"/>
        </w:rPr>
        <w:t>1.2);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2E1F24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0F7E4F">
        <w:rPr>
          <w:rFonts w:ascii="Times New Roman" w:hAnsi="Times New Roman"/>
          <w:sz w:val="28"/>
          <w:szCs w:val="28"/>
        </w:rPr>
        <w:t>06</w:t>
      </w:r>
      <w:r w:rsidR="000F7E4F" w:rsidRPr="00B75C17">
        <w:rPr>
          <w:rFonts w:ascii="Times New Roman" w:hAnsi="Times New Roman"/>
          <w:sz w:val="28"/>
          <w:szCs w:val="28"/>
        </w:rPr>
        <w:t>.09.20</w:t>
      </w:r>
      <w:r w:rsidR="000F7E4F">
        <w:rPr>
          <w:rFonts w:ascii="Times New Roman" w:hAnsi="Times New Roman"/>
          <w:sz w:val="28"/>
          <w:szCs w:val="28"/>
        </w:rPr>
        <w:t>21</w:t>
      </w:r>
      <w:r w:rsidR="000F7E4F" w:rsidRPr="00B75C17">
        <w:rPr>
          <w:rFonts w:ascii="Times New Roman" w:hAnsi="Times New Roman"/>
          <w:sz w:val="28"/>
          <w:szCs w:val="28"/>
        </w:rPr>
        <w:t xml:space="preserve"> №</w:t>
      </w:r>
      <w:r w:rsidR="000F7E4F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81137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6777DD" w:rsidRPr="00B75C17">
        <w:rPr>
          <w:rFonts w:ascii="Times New Roman" w:hAnsi="Times New Roman"/>
          <w:sz w:val="28"/>
          <w:szCs w:val="28"/>
        </w:rPr>
        <w:t>2</w:t>
      </w:r>
      <w:r w:rsidR="001277BB">
        <w:rPr>
          <w:rFonts w:ascii="Times New Roman" w:hAnsi="Times New Roman"/>
          <w:sz w:val="28"/>
          <w:szCs w:val="28"/>
        </w:rPr>
        <w:t>3</w:t>
      </w:r>
      <w:r w:rsidR="006777DD" w:rsidRPr="00B75C17">
        <w:rPr>
          <w:rFonts w:ascii="Times New Roman" w:hAnsi="Times New Roman"/>
          <w:sz w:val="28"/>
          <w:szCs w:val="28"/>
        </w:rPr>
        <w:t>.12.20</w:t>
      </w:r>
      <w:r w:rsidR="006777DD">
        <w:rPr>
          <w:rFonts w:ascii="Times New Roman" w:hAnsi="Times New Roman"/>
          <w:sz w:val="28"/>
          <w:szCs w:val="28"/>
        </w:rPr>
        <w:t>2</w:t>
      </w:r>
      <w:r w:rsidR="001277BB">
        <w:rPr>
          <w:rFonts w:ascii="Times New Roman" w:hAnsi="Times New Roman"/>
          <w:sz w:val="28"/>
          <w:szCs w:val="28"/>
        </w:rPr>
        <w:t>2</w:t>
      </w:r>
      <w:r w:rsidR="006777DD" w:rsidRPr="00B75C17">
        <w:rPr>
          <w:rFonts w:ascii="Times New Roman" w:hAnsi="Times New Roman"/>
          <w:sz w:val="28"/>
          <w:szCs w:val="28"/>
        </w:rPr>
        <w:t xml:space="preserve"> №</w:t>
      </w:r>
      <w:r w:rsidR="001277BB">
        <w:rPr>
          <w:rFonts w:ascii="Times New Roman" w:hAnsi="Times New Roman"/>
          <w:sz w:val="28"/>
          <w:szCs w:val="28"/>
        </w:rPr>
        <w:t>59.</w:t>
      </w:r>
      <w:r w:rsidR="006777DD">
        <w:rPr>
          <w:rFonts w:ascii="Times New Roman" w:hAnsi="Times New Roman"/>
          <w:sz w:val="28"/>
          <w:szCs w:val="28"/>
        </w:rPr>
        <w:t xml:space="preserve"> </w:t>
      </w:r>
    </w:p>
    <w:p w:rsidR="004D779E" w:rsidRDefault="004D779E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Default="00981137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1A5DAA">
        <w:rPr>
          <w:rFonts w:ascii="Times New Roman" w:hAnsi="Times New Roman"/>
          <w:sz w:val="28"/>
          <w:szCs w:val="28"/>
        </w:rPr>
        <w:t xml:space="preserve"> 29</w:t>
      </w:r>
      <w:r w:rsidR="001A5DAA" w:rsidRPr="00B75C17">
        <w:rPr>
          <w:rFonts w:ascii="Times New Roman" w:hAnsi="Times New Roman"/>
          <w:sz w:val="28"/>
          <w:szCs w:val="28"/>
        </w:rPr>
        <w:t>.</w:t>
      </w:r>
      <w:r w:rsidR="001A5DAA">
        <w:rPr>
          <w:rFonts w:ascii="Times New Roman" w:hAnsi="Times New Roman"/>
          <w:sz w:val="28"/>
          <w:szCs w:val="28"/>
        </w:rPr>
        <w:t>09</w:t>
      </w:r>
      <w:r w:rsidR="001A5DAA" w:rsidRPr="00B75C17">
        <w:rPr>
          <w:rFonts w:ascii="Times New Roman" w:hAnsi="Times New Roman"/>
          <w:sz w:val="28"/>
          <w:szCs w:val="28"/>
        </w:rPr>
        <w:t>.20</w:t>
      </w:r>
      <w:r w:rsidR="001A5DAA">
        <w:rPr>
          <w:rFonts w:ascii="Times New Roman" w:hAnsi="Times New Roman"/>
          <w:sz w:val="28"/>
          <w:szCs w:val="28"/>
        </w:rPr>
        <w:t>21</w:t>
      </w:r>
      <w:r w:rsidR="001A5DAA" w:rsidRPr="00B75C17">
        <w:rPr>
          <w:rFonts w:ascii="Times New Roman" w:hAnsi="Times New Roman"/>
          <w:sz w:val="28"/>
          <w:szCs w:val="28"/>
        </w:rPr>
        <w:t xml:space="preserve"> №2</w:t>
      </w:r>
      <w:r w:rsidR="001A5DAA">
        <w:rPr>
          <w:rFonts w:ascii="Times New Roman" w:hAnsi="Times New Roman"/>
          <w:sz w:val="28"/>
          <w:szCs w:val="28"/>
        </w:rPr>
        <w:t>5 (с изменениями)</w:t>
      </w:r>
      <w:r w:rsidR="000515A3">
        <w:rPr>
          <w:rFonts w:ascii="Times New Roman" w:hAnsi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277BB">
        <w:rPr>
          <w:rFonts w:ascii="Times New Roman" w:hAnsi="Times New Roman" w:cs="Times New Roman"/>
          <w:sz w:val="28"/>
          <w:szCs w:val="28"/>
        </w:rPr>
        <w:t>23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1277BB">
        <w:rPr>
          <w:rFonts w:ascii="Times New Roman" w:hAnsi="Times New Roman" w:cs="Times New Roman"/>
          <w:sz w:val="28"/>
          <w:szCs w:val="28"/>
        </w:rPr>
        <w:t>2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1277BB">
        <w:rPr>
          <w:rFonts w:ascii="Times New Roman" w:hAnsi="Times New Roman" w:cs="Times New Roman"/>
          <w:sz w:val="28"/>
          <w:szCs w:val="28"/>
        </w:rPr>
        <w:t>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277BB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1277BB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D779E">
        <w:rPr>
          <w:rFonts w:ascii="Times New Roman" w:hAnsi="Times New Roman" w:cs="Times New Roman"/>
          <w:sz w:val="28"/>
          <w:szCs w:val="28"/>
        </w:rPr>
        <w:t xml:space="preserve"> (с изменениями) (далее решение от 23.12.2022 №21).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0515A3">
        <w:rPr>
          <w:rFonts w:ascii="Times New Roman" w:hAnsi="Times New Roman" w:cs="Times New Roman"/>
          <w:sz w:val="28"/>
          <w:szCs w:val="28"/>
        </w:rPr>
        <w:t xml:space="preserve"> Администрацией Семлевского</w:t>
      </w:r>
      <w:r w:rsidR="000515A3"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515A3">
        <w:rPr>
          <w:rFonts w:ascii="Times New Roman" w:hAnsi="Times New Roman" w:cs="Times New Roman"/>
          <w:sz w:val="28"/>
          <w:szCs w:val="28"/>
        </w:rPr>
        <w:t xml:space="preserve"> </w:t>
      </w:r>
      <w:r w:rsidR="00004B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4BC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004BC0">
        <w:rPr>
          <w:rFonts w:ascii="Times New Roman" w:hAnsi="Times New Roman" w:cs="Times New Roman"/>
          <w:sz w:val="28"/>
          <w:szCs w:val="28"/>
        </w:rPr>
        <w:t xml:space="preserve">. 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от </w:t>
      </w:r>
      <w:r w:rsidR="005E1508">
        <w:rPr>
          <w:rFonts w:ascii="Times New Roman" w:hAnsi="Times New Roman" w:cs="Times New Roman"/>
          <w:sz w:val="28"/>
          <w:szCs w:val="28"/>
        </w:rPr>
        <w:t>2</w:t>
      </w:r>
      <w:r w:rsidR="004D779E">
        <w:rPr>
          <w:rFonts w:ascii="Times New Roman" w:hAnsi="Times New Roman" w:cs="Times New Roman"/>
          <w:sz w:val="28"/>
          <w:szCs w:val="28"/>
        </w:rPr>
        <w:t>0</w:t>
      </w:r>
      <w:r w:rsidR="0022225A" w:rsidRPr="00DC7C1D">
        <w:rPr>
          <w:rFonts w:ascii="Times New Roman" w:hAnsi="Times New Roman" w:cs="Times New Roman"/>
          <w:sz w:val="28"/>
          <w:szCs w:val="28"/>
        </w:rPr>
        <w:t>.0</w:t>
      </w:r>
      <w:r w:rsidR="004D779E">
        <w:rPr>
          <w:rFonts w:ascii="Times New Roman" w:hAnsi="Times New Roman" w:cs="Times New Roman"/>
          <w:sz w:val="28"/>
          <w:szCs w:val="28"/>
        </w:rPr>
        <w:t>9</w:t>
      </w:r>
      <w:r w:rsidR="0022225A" w:rsidRPr="00DC7C1D">
        <w:rPr>
          <w:rFonts w:ascii="Times New Roman" w:hAnsi="Times New Roman" w:cs="Times New Roman"/>
          <w:sz w:val="28"/>
          <w:szCs w:val="28"/>
        </w:rPr>
        <w:t>.202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 №</w:t>
      </w:r>
      <w:r w:rsidR="004D779E">
        <w:rPr>
          <w:rFonts w:ascii="Times New Roman" w:hAnsi="Times New Roman" w:cs="Times New Roman"/>
          <w:sz w:val="28"/>
          <w:szCs w:val="28"/>
        </w:rPr>
        <w:t>156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5E1508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4D7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,7,9,</w:t>
      </w:r>
      <w:r w:rsidR="00DC7C1D">
        <w:rPr>
          <w:rFonts w:ascii="Times New Roman" w:hAnsi="Times New Roman" w:cs="Times New Roman"/>
          <w:sz w:val="28"/>
          <w:szCs w:val="28"/>
        </w:rPr>
        <w:t>11,13</w:t>
      </w:r>
      <w:r w:rsidR="00DB3709">
        <w:rPr>
          <w:rFonts w:ascii="Times New Roman" w:hAnsi="Times New Roman" w:cs="Times New Roman"/>
          <w:sz w:val="28"/>
          <w:szCs w:val="28"/>
        </w:rPr>
        <w:t xml:space="preserve"> </w:t>
      </w:r>
      <w:r w:rsidR="00DC7C1D"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DC7C1D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</w:t>
      </w:r>
      <w:r w:rsidR="005C2B57">
        <w:rPr>
          <w:rFonts w:ascii="Times New Roman" w:hAnsi="Times New Roman" w:cs="Times New Roman"/>
          <w:sz w:val="28"/>
          <w:szCs w:val="28"/>
        </w:rPr>
        <w:t>;</w:t>
      </w:r>
    </w:p>
    <w:p w:rsidR="00B96F0A" w:rsidRDefault="00B96F0A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</w:t>
      </w:r>
      <w:r w:rsidR="008F2458">
        <w:rPr>
          <w:rFonts w:ascii="Times New Roman" w:hAnsi="Times New Roman" w:cs="Times New Roman"/>
          <w:sz w:val="28"/>
          <w:szCs w:val="28"/>
        </w:rPr>
        <w:t xml:space="preserve">я от 20.12.2023 № 192 «О внесении изменений в муниципальную программу «Профилактика терроризма и экстремизма на территории </w:t>
      </w:r>
      <w:proofErr w:type="spellStart"/>
      <w:r w:rsidR="008F2458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8F245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области»;</w:t>
      </w:r>
    </w:p>
    <w:p w:rsidR="008F2458" w:rsidRDefault="008F245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от 20.12.2023 № 193 «О внесении изменений в муниципальную программу «Развитие субъектов малого и среднего предпринимательства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области»;</w:t>
      </w:r>
    </w:p>
    <w:p w:rsidR="008F2458" w:rsidRDefault="008F245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от 20.12.2023 № 194 «О внесении изменений в муниципальную программу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области»;</w:t>
      </w:r>
    </w:p>
    <w:p w:rsidR="008F2458" w:rsidRDefault="008F245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от 20.12.2023 № 195 «О внесении изменений в муниципальную программу «Энергосбережение и повышение энергетической эффективности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области»;</w:t>
      </w:r>
    </w:p>
    <w:p w:rsidR="008F2458" w:rsidRDefault="008F245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от 20.12.2023 № 196 «О внесении изменений в муниципальную программу «Ремонт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общего пользования местного значения в границах населенных пунктов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области»;</w:t>
      </w:r>
    </w:p>
    <w:p w:rsidR="005C2B57" w:rsidRDefault="005C2B57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-постановления от </w:t>
      </w:r>
      <w:r w:rsidR="008F24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45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DB3709">
        <w:rPr>
          <w:rFonts w:ascii="Times New Roman" w:hAnsi="Times New Roman" w:cs="Times New Roman"/>
          <w:sz w:val="28"/>
          <w:szCs w:val="28"/>
        </w:rPr>
        <w:t>19</w:t>
      </w:r>
      <w:r w:rsidR="008F2458"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 «Комплексное развитие систем коммунальной инфраструктуры Семлевского сельского поселения Вяземского района Смоленской области»;</w:t>
      </w:r>
    </w:p>
    <w:p w:rsidR="006B5F29" w:rsidRDefault="006B5F29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от 20.12.2023 № 198 «О внесении изменений в муниципальную программу «Благоустройство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7B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области»;</w:t>
      </w:r>
    </w:p>
    <w:p w:rsidR="005C2B57" w:rsidRPr="00AC09EE" w:rsidRDefault="005C2B57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-постановления от </w:t>
      </w:r>
      <w:r w:rsidR="006B5F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5F2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.2023 №1</w:t>
      </w:r>
      <w:r w:rsidR="006B5F29">
        <w:rPr>
          <w:rFonts w:ascii="Times New Roman" w:hAnsi="Times New Roman" w:cs="Times New Roman"/>
          <w:sz w:val="28"/>
          <w:szCs w:val="28"/>
        </w:rPr>
        <w:t>99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 «</w:t>
      </w:r>
      <w:r w:rsidR="00DB3709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134C84">
        <w:rPr>
          <w:rFonts w:ascii="Times New Roman" w:hAnsi="Times New Roman" w:cs="Times New Roman"/>
          <w:sz w:val="28"/>
          <w:szCs w:val="28"/>
        </w:rPr>
        <w:t xml:space="preserve"> 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Семлевско</w:t>
      </w:r>
      <w:r w:rsidR="00134C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4C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34C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E1508">
        <w:rPr>
          <w:rFonts w:ascii="Times New Roman" w:hAnsi="Times New Roman" w:cs="Times New Roman"/>
          <w:sz w:val="28"/>
          <w:szCs w:val="28"/>
        </w:rPr>
        <w:t>23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5E1508">
        <w:rPr>
          <w:rFonts w:ascii="Times New Roman" w:hAnsi="Times New Roman" w:cs="Times New Roman"/>
          <w:sz w:val="28"/>
          <w:szCs w:val="28"/>
        </w:rPr>
        <w:t>2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5E1508">
        <w:rPr>
          <w:rFonts w:ascii="Times New Roman" w:hAnsi="Times New Roman" w:cs="Times New Roman"/>
          <w:sz w:val="28"/>
          <w:szCs w:val="28"/>
        </w:rPr>
        <w:t>21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E1508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5E1508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50E53">
        <w:rPr>
          <w:rFonts w:ascii="Times New Roman" w:hAnsi="Times New Roman" w:cs="Times New Roman"/>
          <w:sz w:val="28"/>
          <w:szCs w:val="28"/>
        </w:rPr>
        <w:t>инспектором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4D779E">
        <w:rPr>
          <w:rFonts w:ascii="Times New Roman" w:hAnsi="Times New Roman" w:cs="Times New Roman"/>
          <w:sz w:val="28"/>
          <w:szCs w:val="28"/>
        </w:rPr>
        <w:t>М</w:t>
      </w:r>
      <w:r w:rsidR="00004BC0">
        <w:rPr>
          <w:rFonts w:ascii="Times New Roman" w:hAnsi="Times New Roman" w:cs="Times New Roman"/>
          <w:sz w:val="28"/>
          <w:szCs w:val="28"/>
        </w:rPr>
        <w:t>.</w:t>
      </w:r>
      <w:r w:rsidR="004D779E">
        <w:rPr>
          <w:rFonts w:ascii="Times New Roman" w:hAnsi="Times New Roman" w:cs="Times New Roman"/>
          <w:sz w:val="28"/>
          <w:szCs w:val="28"/>
        </w:rPr>
        <w:t>М</w:t>
      </w:r>
      <w:r w:rsidR="00004BC0">
        <w:rPr>
          <w:rFonts w:ascii="Times New Roman" w:hAnsi="Times New Roman" w:cs="Times New Roman"/>
          <w:sz w:val="28"/>
          <w:szCs w:val="28"/>
        </w:rPr>
        <w:t xml:space="preserve">. </w:t>
      </w:r>
      <w:r w:rsidR="004D779E">
        <w:rPr>
          <w:rFonts w:ascii="Times New Roman" w:hAnsi="Times New Roman" w:cs="Times New Roman"/>
          <w:sz w:val="28"/>
          <w:szCs w:val="28"/>
        </w:rPr>
        <w:t>Денисовым</w:t>
      </w:r>
      <w:r w:rsidR="00004BC0">
        <w:rPr>
          <w:rFonts w:ascii="Times New Roman" w:hAnsi="Times New Roman" w:cs="Times New Roman"/>
          <w:sz w:val="28"/>
          <w:szCs w:val="28"/>
        </w:rPr>
        <w:t>.</w:t>
      </w:r>
    </w:p>
    <w:p w:rsidR="00134C84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84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004BC0" w:rsidRDefault="0039684A" w:rsidP="005C2B57">
      <w:pPr>
        <w:ind w:firstLine="709"/>
        <w:jc w:val="both"/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C2B57">
        <w:rPr>
          <w:sz w:val="28"/>
          <w:szCs w:val="28"/>
        </w:rPr>
        <w:t>3</w:t>
      </w:r>
      <w:r w:rsidR="00A17A5A"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год.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973" w:type="dxa"/>
        <w:tblInd w:w="-572" w:type="dxa"/>
        <w:tblLook w:val="04A0"/>
      </w:tblPr>
      <w:tblGrid>
        <w:gridCol w:w="640"/>
        <w:gridCol w:w="4889"/>
        <w:gridCol w:w="1651"/>
        <w:gridCol w:w="1340"/>
        <w:gridCol w:w="1453"/>
      </w:tblGrid>
      <w:tr w:rsidR="003B3255" w:rsidRPr="003B3255" w:rsidTr="00A17A5A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№ пункта решения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Наименование характеристик бюджета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Решение о бюджете от 23.12.2022 №21</w:t>
            </w:r>
            <w:r w:rsidR="00A17A5A">
              <w:t xml:space="preserve"> (с изм.)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DC26A4" w:rsidP="003B3255">
            <w:pPr>
              <w:jc w:val="center"/>
            </w:pPr>
            <w:r>
              <w:t>Проект решения</w:t>
            </w:r>
            <w:r w:rsidR="003B3255" w:rsidRPr="003B3255"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Отклонения (+,-)</w:t>
            </w:r>
          </w:p>
        </w:tc>
      </w:tr>
      <w:tr w:rsidR="003B3255" w:rsidRPr="003B3255" w:rsidTr="00A17A5A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55" w:rsidRPr="003B3255" w:rsidRDefault="003B3255" w:rsidP="003B3255">
            <w:r w:rsidRPr="003B3255"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r w:rsidRPr="003B3255">
              <w:t>Доходы на 2023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6B5F29">
            <w:pPr>
              <w:jc w:val="right"/>
            </w:pPr>
            <w:r>
              <w:t>28683,3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28847,2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+163,9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3B3255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3B3255">
            <w:r w:rsidRPr="003B3255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6B5F29">
            <w:pPr>
              <w:jc w:val="right"/>
            </w:pPr>
            <w:r>
              <w:t>20622,5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20786,4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+163,9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3B3255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3B3255">
            <w:r w:rsidRPr="003B3255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6B5F29">
            <w:pPr>
              <w:jc w:val="right"/>
            </w:pPr>
            <w:r>
              <w:t>20622,5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20786,4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+163,9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r w:rsidRPr="003B3255">
              <w:t>Расходы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6B5F29">
            <w:pPr>
              <w:jc w:val="right"/>
            </w:pPr>
            <w:r>
              <w:t>29112,1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29276,0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+163,9</w:t>
            </w:r>
          </w:p>
        </w:tc>
      </w:tr>
      <w:tr w:rsidR="006B5F29" w:rsidRPr="003B3255" w:rsidTr="00A17A5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3B3255">
            <w:r w:rsidRPr="003B3255">
              <w:t>Дефицит (профицит)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428,8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 w:rsidRPr="003B3255">
              <w:t>428,8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524FB0" w:rsidRDefault="006B5F29" w:rsidP="003B3255">
            <w:pPr>
              <w:jc w:val="right"/>
            </w:pPr>
            <w:r>
              <w:t>0,0</w:t>
            </w:r>
          </w:p>
        </w:tc>
      </w:tr>
      <w:tr w:rsidR="006B5F29" w:rsidRPr="003B3255" w:rsidTr="006B5F29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center"/>
            </w:pPr>
            <w:r w:rsidRPr="003B3255">
              <w:lastRenderedPageBreak/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F29" w:rsidRPr="003B3255" w:rsidRDefault="006B5F29" w:rsidP="003B3255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6B5F29">
            <w:pPr>
              <w:jc w:val="right"/>
            </w:pPr>
            <w:r w:rsidRPr="003B3255">
              <w:t>2</w:t>
            </w:r>
            <w:r>
              <w:t>6</w:t>
            </w:r>
            <w:r w:rsidRPr="003B3255">
              <w:t>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3B3255">
            <w:pPr>
              <w:jc w:val="right"/>
            </w:pPr>
            <w:r>
              <w:t>+2,0</w:t>
            </w:r>
          </w:p>
        </w:tc>
      </w:tr>
      <w:tr w:rsidR="006B5F29" w:rsidRPr="003B3255" w:rsidTr="006B5F29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center"/>
            </w:pPr>
            <w:r w:rsidRPr="003B3255">
              <w:t>12.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 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 xml:space="preserve"> в 2023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>
              <w:t>476,6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>
              <w:t>+56,6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 xml:space="preserve">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0,0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524FB0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>в 2025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0,0</w:t>
            </w:r>
          </w:p>
        </w:tc>
      </w:tr>
      <w:tr w:rsidR="006B5F29" w:rsidRPr="003B3255" w:rsidTr="00A17A5A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center"/>
            </w:pPr>
            <w:r w:rsidRPr="003B3255">
              <w:t>13.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 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 xml:space="preserve"> в 2023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>
              <w:t>27432,8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>
              <w:t>27453,9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6B5F29">
            <w:pPr>
              <w:jc w:val="right"/>
            </w:pPr>
            <w:r>
              <w:t>+21,1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 xml:space="preserve">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>
              <w:t>14565,2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14565,2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0,0</w:t>
            </w:r>
          </w:p>
        </w:tc>
      </w:tr>
      <w:tr w:rsidR="006B5F29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F29" w:rsidRPr="003B3255" w:rsidRDefault="006B5F29" w:rsidP="00524FB0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29" w:rsidRPr="003B3255" w:rsidRDefault="006B5F29" w:rsidP="00524FB0">
            <w:r w:rsidRPr="003B3255">
              <w:t>в 2025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10777,5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10777,5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29" w:rsidRPr="003B3255" w:rsidRDefault="006B5F29" w:rsidP="00524FB0">
            <w:pPr>
              <w:jc w:val="right"/>
            </w:pPr>
            <w:r w:rsidRPr="003B3255">
              <w:t>0,0</w:t>
            </w:r>
          </w:p>
        </w:tc>
      </w:tr>
    </w:tbl>
    <w:p w:rsidR="003B3255" w:rsidRDefault="003B325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C645B" w:rsidRPr="00DB251A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показатели планового периода 2024 и 2025 годов – не изменяются:</w:t>
      </w:r>
    </w:p>
    <w:p w:rsidR="00AC645B" w:rsidRPr="00DB251A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26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EAF">
        <w:rPr>
          <w:rFonts w:ascii="Times New Roman" w:hAnsi="Times New Roman" w:cs="Times New Roman"/>
          <w:b/>
          <w:sz w:val="28"/>
          <w:szCs w:val="28"/>
        </w:rPr>
        <w:t>847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15EA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E22621">
        <w:rPr>
          <w:rFonts w:ascii="Times New Roman" w:hAnsi="Times New Roman" w:cs="Times New Roman"/>
          <w:b/>
          <w:sz w:val="28"/>
          <w:szCs w:val="28"/>
        </w:rPr>
        <w:t>1</w:t>
      </w:r>
      <w:r w:rsidR="00315EAF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15EA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EF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Pr="007B5EEF">
        <w:rPr>
          <w:rFonts w:ascii="Times New Roman" w:hAnsi="Times New Roman" w:cs="Times New Roman"/>
          <w:b/>
          <w:sz w:val="28"/>
          <w:szCs w:val="28"/>
        </w:rPr>
        <w:t>8</w:t>
      </w:r>
      <w:r w:rsidR="00E22621" w:rsidRPr="007B5EEF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7B5EEF">
        <w:rPr>
          <w:rFonts w:ascii="Times New Roman" w:hAnsi="Times New Roman" w:cs="Times New Roman"/>
          <w:b/>
          <w:sz w:val="28"/>
          <w:szCs w:val="28"/>
        </w:rPr>
        <w:t>6</w:t>
      </w:r>
      <w:r w:rsidR="00E22621" w:rsidRPr="007B5EEF">
        <w:rPr>
          <w:rFonts w:ascii="Times New Roman" w:hAnsi="Times New Roman" w:cs="Times New Roman"/>
          <w:b/>
          <w:sz w:val="28"/>
          <w:szCs w:val="28"/>
        </w:rPr>
        <w:t>0</w:t>
      </w:r>
      <w:r w:rsidRPr="007B5EEF">
        <w:rPr>
          <w:rFonts w:ascii="Times New Roman" w:hAnsi="Times New Roman" w:cs="Times New Roman"/>
          <w:b/>
          <w:sz w:val="28"/>
          <w:szCs w:val="28"/>
        </w:rPr>
        <w:t>,</w:t>
      </w:r>
      <w:r w:rsidR="00E22621" w:rsidRPr="007B5EEF">
        <w:rPr>
          <w:rFonts w:ascii="Times New Roman" w:hAnsi="Times New Roman" w:cs="Times New Roman"/>
          <w:b/>
          <w:sz w:val="28"/>
          <w:szCs w:val="28"/>
        </w:rPr>
        <w:t>8</w:t>
      </w:r>
      <w:r w:rsidRPr="007B5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EEF"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2621">
        <w:rPr>
          <w:rFonts w:ascii="Times New Roman" w:hAnsi="Times New Roman" w:cs="Times New Roman"/>
          <w:b/>
          <w:sz w:val="28"/>
          <w:szCs w:val="28"/>
        </w:rPr>
        <w:t>0</w:t>
      </w:r>
      <w:r w:rsidR="007B5EEF">
        <w:rPr>
          <w:rFonts w:ascii="Times New Roman" w:hAnsi="Times New Roman" w:cs="Times New Roman"/>
          <w:b/>
          <w:sz w:val="28"/>
          <w:szCs w:val="28"/>
        </w:rPr>
        <w:t>786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EEF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22621">
        <w:rPr>
          <w:rFonts w:ascii="Times New Roman" w:hAnsi="Times New Roman" w:cs="Times New Roman"/>
          <w:b/>
          <w:sz w:val="28"/>
          <w:szCs w:val="28"/>
        </w:rPr>
        <w:t>1</w:t>
      </w:r>
      <w:r w:rsidR="007B5EEF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EEF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AC645B" w:rsidRPr="00DB251A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AD3FCF">
        <w:rPr>
          <w:rFonts w:ascii="Times New Roman" w:hAnsi="Times New Roman" w:cs="Times New Roman"/>
          <w:b/>
          <w:sz w:val="28"/>
          <w:szCs w:val="28"/>
        </w:rPr>
        <w:t>2</w:t>
      </w:r>
      <w:r w:rsidR="007B5EE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EEF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AD3FCF">
        <w:rPr>
          <w:rFonts w:ascii="Times New Roman" w:hAnsi="Times New Roman" w:cs="Times New Roman"/>
          <w:b/>
          <w:sz w:val="28"/>
          <w:szCs w:val="28"/>
        </w:rPr>
        <w:t>7</w:t>
      </w:r>
      <w:r w:rsidR="007B5EE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EEF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D3FCF">
        <w:rPr>
          <w:rFonts w:ascii="Times New Roman" w:hAnsi="Times New Roman" w:cs="Times New Roman"/>
          <w:b/>
          <w:sz w:val="28"/>
          <w:szCs w:val="28"/>
        </w:rPr>
        <w:t>9 2</w:t>
      </w:r>
      <w:r w:rsidR="007B5EEF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EEF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D3FCF">
        <w:rPr>
          <w:rFonts w:ascii="Times New Roman" w:hAnsi="Times New Roman" w:cs="Times New Roman"/>
          <w:b/>
          <w:sz w:val="28"/>
          <w:szCs w:val="28"/>
        </w:rPr>
        <w:t>1</w:t>
      </w:r>
      <w:r w:rsidR="007B5EEF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EE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бюджета в сумме </w:t>
      </w:r>
      <w:r w:rsidR="00AD3FCF">
        <w:rPr>
          <w:rFonts w:ascii="Times New Roman" w:hAnsi="Times New Roman" w:cs="Times New Roman"/>
          <w:b/>
          <w:sz w:val="28"/>
          <w:szCs w:val="28"/>
        </w:rPr>
        <w:t>428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D3F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6E2F" w:rsidRDefault="00A26E2F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объем межбюджетных трансфертов предоставляемых из бюджета сельского поселения в бюджет муниципального образования «Вяземский район» Смоленской области в 2023 году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6E2F" w:rsidRPr="00A26E2F" w:rsidRDefault="00A26E2F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объем бюджетных ассигнований на исполнение публичных нормативных обязательств на 2023 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476,6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56,6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AC645B" w:rsidRDefault="006E058F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C645B">
        <w:rPr>
          <w:rFonts w:ascii="Times New Roman" w:hAnsi="Times New Roman" w:cs="Times New Roman"/>
          <w:sz w:val="28"/>
          <w:szCs w:val="28"/>
        </w:rPr>
        <w:t>) о</w:t>
      </w:r>
      <w:r w:rsidR="00AC645B"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 w:rsidR="00AC645B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AC645B"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 w:rsidR="00AC645B">
        <w:rPr>
          <w:rFonts w:ascii="Times New Roman" w:hAnsi="Times New Roman" w:cs="Times New Roman"/>
          <w:sz w:val="28"/>
          <w:szCs w:val="28"/>
        </w:rPr>
        <w:t xml:space="preserve"> </w:t>
      </w:r>
      <w:r w:rsidR="00AC645B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AC645B">
        <w:rPr>
          <w:rFonts w:ascii="Times New Roman" w:hAnsi="Times New Roman" w:cs="Times New Roman"/>
          <w:b/>
          <w:sz w:val="28"/>
          <w:szCs w:val="28"/>
        </w:rPr>
        <w:t>27</w:t>
      </w:r>
      <w:r w:rsidR="00AD3FCF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53</w:t>
      </w:r>
      <w:r w:rsidR="00AC645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AC6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45B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C64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C645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C645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645B">
        <w:rPr>
          <w:rFonts w:ascii="Times New Roman" w:hAnsi="Times New Roman" w:cs="Times New Roman"/>
          <w:sz w:val="28"/>
          <w:szCs w:val="28"/>
        </w:rPr>
        <w:t>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E058F" w:rsidRDefault="00AC645B" w:rsidP="006E0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b/>
          <w:sz w:val="28"/>
          <w:szCs w:val="28"/>
        </w:rPr>
        <w:t>1.</w:t>
      </w:r>
      <w:r w:rsidRPr="00534560">
        <w:rPr>
          <w:rFonts w:ascii="Times New Roman" w:hAnsi="Times New Roman" w:cs="Times New Roman"/>
          <w:sz w:val="28"/>
          <w:szCs w:val="28"/>
        </w:rPr>
        <w:t xml:space="preserve"> </w:t>
      </w:r>
      <w:r w:rsidR="006E058F" w:rsidRPr="00534560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необходимостью увеличения объема</w:t>
      </w:r>
      <w:r w:rsidR="006E058F" w:rsidRPr="005775F9">
        <w:rPr>
          <w:rFonts w:ascii="Times New Roman" w:hAnsi="Times New Roman" w:cs="Times New Roman"/>
          <w:sz w:val="28"/>
          <w:szCs w:val="28"/>
        </w:rPr>
        <w:t xml:space="preserve"> </w:t>
      </w:r>
      <w:r w:rsidR="006E058F" w:rsidRPr="00534560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 </w:t>
      </w:r>
      <w:r w:rsidR="006E058F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="006E058F" w:rsidRPr="0053456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6E058F">
        <w:rPr>
          <w:rFonts w:ascii="Times New Roman" w:hAnsi="Times New Roman" w:cs="Times New Roman"/>
          <w:sz w:val="28"/>
          <w:szCs w:val="28"/>
        </w:rPr>
        <w:t>. Прочие межбюджетные трансферты, передаваемые бюджетам сельских поселений, предлагаются к утверждению</w:t>
      </w:r>
      <w:r w:rsidR="006E058F"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="006E058F"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6E058F"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E058F">
        <w:rPr>
          <w:rFonts w:ascii="Times New Roman" w:hAnsi="Times New Roman" w:cs="Times New Roman"/>
          <w:b/>
          <w:sz w:val="28"/>
          <w:szCs w:val="28"/>
        </w:rPr>
        <w:t>535</w:t>
      </w:r>
      <w:r w:rsidR="006E058F"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6E058F">
        <w:rPr>
          <w:rFonts w:ascii="Times New Roman" w:hAnsi="Times New Roman" w:cs="Times New Roman"/>
          <w:b/>
          <w:sz w:val="28"/>
          <w:szCs w:val="28"/>
        </w:rPr>
        <w:t>3</w:t>
      </w:r>
      <w:r w:rsidR="006E058F"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058F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6E058F">
        <w:rPr>
          <w:rFonts w:ascii="Times New Roman" w:hAnsi="Times New Roman" w:cs="Times New Roman"/>
          <w:b/>
          <w:sz w:val="28"/>
          <w:szCs w:val="28"/>
        </w:rPr>
        <w:t xml:space="preserve">163,9 </w:t>
      </w:r>
      <w:r w:rsidR="006E058F">
        <w:rPr>
          <w:rFonts w:ascii="Times New Roman" w:hAnsi="Times New Roman" w:cs="Times New Roman"/>
          <w:sz w:val="28"/>
          <w:szCs w:val="28"/>
        </w:rPr>
        <w:t>тыс. рублей</w:t>
      </w:r>
      <w:r w:rsidR="006E058F" w:rsidRPr="00534560">
        <w:rPr>
          <w:rFonts w:ascii="Times New Roman" w:hAnsi="Times New Roman" w:cs="Times New Roman"/>
          <w:sz w:val="28"/>
          <w:szCs w:val="28"/>
        </w:rPr>
        <w:t>.</w:t>
      </w:r>
    </w:p>
    <w:p w:rsidR="00AC645B" w:rsidRDefault="00AC645B" w:rsidP="006E0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Layout w:type="fixed"/>
        <w:tblLook w:val="04A0"/>
      </w:tblPr>
      <w:tblGrid>
        <w:gridCol w:w="4253"/>
        <w:gridCol w:w="1560"/>
        <w:gridCol w:w="1275"/>
        <w:gridCol w:w="1276"/>
        <w:gridCol w:w="1276"/>
      </w:tblGrid>
      <w:tr w:rsidR="00AC645B" w:rsidRPr="00413BF0" w:rsidTr="0055733C">
        <w:trPr>
          <w:trHeight w:val="6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 w:rsidR="00B153A4">
              <w:rPr>
                <w:b/>
                <w:bCs/>
                <w:sz w:val="18"/>
                <w:szCs w:val="18"/>
              </w:rPr>
              <w:t>23</w:t>
            </w:r>
            <w:r w:rsidRPr="00413BF0">
              <w:rPr>
                <w:b/>
                <w:bCs/>
                <w:sz w:val="18"/>
                <w:szCs w:val="18"/>
              </w:rPr>
              <w:t>.12.2022 №</w:t>
            </w:r>
            <w:r w:rsidR="00B153A4">
              <w:rPr>
                <w:b/>
                <w:bCs/>
                <w:sz w:val="18"/>
                <w:szCs w:val="18"/>
              </w:rPr>
              <w:t>2</w:t>
            </w:r>
            <w:r w:rsidRPr="00413BF0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AC645B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Pr="00413BF0" w:rsidRDefault="00AC645B" w:rsidP="00DD4489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ПРОЕКТ решени</w:t>
            </w:r>
            <w:r w:rsidR="00DD4489">
              <w:rPr>
                <w:b/>
                <w:bCs/>
                <w:sz w:val="18"/>
                <w:szCs w:val="18"/>
              </w:rPr>
              <w:t>я</w:t>
            </w:r>
            <w:r w:rsidRPr="00413BF0">
              <w:rPr>
                <w:b/>
                <w:bCs/>
                <w:sz w:val="18"/>
                <w:szCs w:val="18"/>
              </w:rPr>
              <w:t xml:space="preserve"> о бюджете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Default="00AC645B" w:rsidP="0055733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</w:t>
            </w:r>
          </w:p>
          <w:p w:rsidR="00AC645B" w:rsidRPr="00413BF0" w:rsidRDefault="00AC645B" w:rsidP="0055733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(+,-)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 (%)</w:t>
            </w:r>
          </w:p>
        </w:tc>
      </w:tr>
      <w:tr w:rsidR="00AC645B" w:rsidRPr="00413BF0" w:rsidTr="0055733C">
        <w:trPr>
          <w:trHeight w:val="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645B" w:rsidRPr="00413BF0" w:rsidTr="0055733C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1 274,8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1 274,8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4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2 288,9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2 288,9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4 021,1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4 021,1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645B" w:rsidRPr="00671A5E" w:rsidRDefault="00AC645B" w:rsidP="0055733C">
            <w:pPr>
              <w:jc w:val="right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100,0</w:t>
            </w:r>
          </w:p>
        </w:tc>
      </w:tr>
      <w:tr w:rsidR="00AC645B" w:rsidRPr="00413BF0" w:rsidTr="0055733C">
        <w:trPr>
          <w:trHeight w:val="7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AC645B" w:rsidRPr="00413BF0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11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  <w:r>
              <w:rPr>
                <w:i/>
                <w:iCs/>
                <w:sz w:val="20"/>
                <w:szCs w:val="20"/>
              </w:rPr>
              <w:t>, муниципал</w:t>
            </w:r>
            <w:r w:rsidRPr="00413BF0">
              <w:rPr>
                <w:i/>
                <w:iCs/>
                <w:sz w:val="20"/>
                <w:szCs w:val="20"/>
              </w:rPr>
              <w:t>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AC645B" w:rsidRPr="00413BF0" w:rsidRDefault="00AC645B" w:rsidP="00E1126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  <w:r w:rsidR="00E1126E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>,0</w:t>
            </w:r>
          </w:p>
        </w:tc>
      </w:tr>
      <w:tr w:rsidR="00AC645B" w:rsidRPr="00413BF0" w:rsidTr="0055733C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 xml:space="preserve">субсидии бюджетам </w:t>
            </w:r>
            <w:r>
              <w:rPr>
                <w:i/>
                <w:iCs/>
                <w:sz w:val="20"/>
                <w:szCs w:val="20"/>
              </w:rPr>
              <w:t>бюджетной системы РФ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6E058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11 5</w:t>
            </w:r>
            <w:r w:rsidR="006E058F">
              <w:rPr>
                <w:i/>
                <w:iCs/>
                <w:sz w:val="20"/>
                <w:szCs w:val="20"/>
              </w:rPr>
              <w:t>6</w:t>
            </w: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6E058F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58F" w:rsidRDefault="006E058F" w:rsidP="0055733C">
            <w:pPr>
              <w:jc w:val="right"/>
              <w:rPr>
                <w:i/>
                <w:iCs/>
                <w:sz w:val="18"/>
                <w:szCs w:val="18"/>
              </w:rPr>
            </w:pPr>
          </w:p>
          <w:p w:rsidR="00AC645B" w:rsidRPr="00025054" w:rsidRDefault="006E058F" w:rsidP="0055733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AC645B" w:rsidRPr="00413BF0" w:rsidTr="0055733C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5B" w:rsidRDefault="006E058F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645B" w:rsidRDefault="006E058F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5B" w:rsidRDefault="006E058F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58F" w:rsidRDefault="006E058F" w:rsidP="0055733C">
            <w:pPr>
              <w:jc w:val="right"/>
              <w:rPr>
                <w:i/>
                <w:iCs/>
                <w:sz w:val="18"/>
                <w:szCs w:val="18"/>
              </w:rPr>
            </w:pPr>
          </w:p>
          <w:p w:rsidR="00AC645B" w:rsidRDefault="006E058F" w:rsidP="0055733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144,1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D87A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</w:t>
            </w:r>
            <w:r w:rsidR="00D87A2A">
              <w:rPr>
                <w:b/>
                <w:bCs/>
                <w:sz w:val="20"/>
                <w:szCs w:val="20"/>
              </w:rPr>
              <w:t>622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D87A2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D87A2A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D87A2A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645B" w:rsidRPr="00025054" w:rsidRDefault="00D87A2A" w:rsidP="005573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100,8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D87A2A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D87A2A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D87A2A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AC645B" w:rsidRPr="00025054" w:rsidRDefault="00D87A2A" w:rsidP="005573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100,6</w:t>
            </w:r>
          </w:p>
        </w:tc>
      </w:tr>
    </w:tbl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202E" w:rsidRDefault="0021202E" w:rsidP="00212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4666869"/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442A34">
        <w:rPr>
          <w:rFonts w:ascii="Times New Roman" w:hAnsi="Times New Roman" w:cs="Times New Roman"/>
          <w:b/>
          <w:sz w:val="28"/>
          <w:szCs w:val="28"/>
        </w:rPr>
        <w:t>276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42A34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2A34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42A3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21202E" w:rsidRDefault="0021202E" w:rsidP="00212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2E" w:rsidRDefault="0021202E" w:rsidP="00212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21202E" w:rsidRDefault="0021202E" w:rsidP="0021202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493" w:type="dxa"/>
        <w:tblLayout w:type="fixed"/>
        <w:tblLook w:val="04A0"/>
      </w:tblPr>
      <w:tblGrid>
        <w:gridCol w:w="3114"/>
        <w:gridCol w:w="567"/>
        <w:gridCol w:w="425"/>
        <w:gridCol w:w="1478"/>
        <w:gridCol w:w="1074"/>
        <w:gridCol w:w="1417"/>
        <w:gridCol w:w="1418"/>
      </w:tblGrid>
      <w:tr w:rsidR="0021202E" w:rsidRPr="008C5198" w:rsidTr="00DD4489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1202E" w:rsidRPr="008C5198" w:rsidRDefault="0021202E" w:rsidP="002120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1202E" w:rsidRPr="008C5198" w:rsidRDefault="0021202E" w:rsidP="0021202E">
            <w:pPr>
              <w:ind w:left="113" w:right="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4489" w:rsidRDefault="00DD4489" w:rsidP="00DD4489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b/>
                <w:bCs/>
                <w:sz w:val="18"/>
                <w:szCs w:val="18"/>
              </w:rPr>
              <w:t>23</w:t>
            </w:r>
            <w:r w:rsidRPr="00413BF0">
              <w:rPr>
                <w:b/>
                <w:bCs/>
                <w:sz w:val="18"/>
                <w:szCs w:val="18"/>
              </w:rPr>
              <w:t>.12.2022 №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13BF0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DD4489" w:rsidRDefault="00DD4489" w:rsidP="00DD44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21202E" w:rsidRPr="008C5198" w:rsidRDefault="00DD4489" w:rsidP="00DD44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202E" w:rsidRPr="00DD4489" w:rsidRDefault="0021202E" w:rsidP="002120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4489">
              <w:rPr>
                <w:b/>
                <w:bCs/>
                <w:sz w:val="18"/>
                <w:szCs w:val="18"/>
              </w:rPr>
              <w:t>проект решения о бюджете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202E" w:rsidRPr="008C5198" w:rsidRDefault="00DD4489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="0021202E" w:rsidRPr="008C5198">
              <w:rPr>
                <w:b/>
                <w:bCs/>
                <w:sz w:val="20"/>
                <w:szCs w:val="20"/>
              </w:rPr>
              <w:t>ткл</w:t>
            </w:r>
            <w:r w:rsidR="0021202E">
              <w:rPr>
                <w:b/>
                <w:bCs/>
                <w:sz w:val="20"/>
                <w:szCs w:val="20"/>
              </w:rPr>
              <w:t>онение</w:t>
            </w:r>
            <w:proofErr w:type="gramStart"/>
            <w:r w:rsidR="0021202E" w:rsidRPr="008C5198">
              <w:rPr>
                <w:b/>
                <w:bCs/>
                <w:sz w:val="20"/>
                <w:szCs w:val="20"/>
              </w:rPr>
              <w:t xml:space="preserve">    (+,-)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4489" w:rsidRDefault="00DD4489" w:rsidP="00DD4489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О</w:t>
            </w:r>
            <w:r w:rsidR="0021202E" w:rsidRPr="008C5198">
              <w:rPr>
                <w:b/>
                <w:bCs/>
                <w:sz w:val="20"/>
                <w:szCs w:val="20"/>
              </w:rPr>
              <w:t>ткл</w:t>
            </w:r>
            <w:r>
              <w:rPr>
                <w:b/>
                <w:bCs/>
                <w:sz w:val="20"/>
                <w:szCs w:val="20"/>
              </w:rPr>
              <w:t>онение</w:t>
            </w:r>
          </w:p>
          <w:p w:rsidR="0021202E" w:rsidRPr="008C5198" w:rsidRDefault="0021202E" w:rsidP="00DD4489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(</w:t>
            </w:r>
            <w:r w:rsidR="00DD4489">
              <w:rPr>
                <w:b/>
                <w:bCs/>
                <w:sz w:val="20"/>
                <w:szCs w:val="20"/>
              </w:rPr>
              <w:t>%</w:t>
            </w:r>
            <w:r w:rsidRPr="008C5198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42A34" w:rsidRPr="008C5198" w:rsidTr="00DD4489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9707,7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101,2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113,0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8853,1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100,4</w:t>
            </w:r>
          </w:p>
        </w:tc>
      </w:tr>
      <w:tr w:rsidR="00442A34" w:rsidRPr="008C5198" w:rsidTr="00DD4489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108,3</w:t>
            </w:r>
          </w:p>
        </w:tc>
      </w:tr>
      <w:tr w:rsidR="00442A34" w:rsidRPr="008C5198" w:rsidTr="00DD4489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42A34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59,3</w:t>
            </w:r>
          </w:p>
        </w:tc>
      </w:tr>
      <w:tr w:rsidR="00442A34" w:rsidRPr="008C5198" w:rsidTr="00DD4489">
        <w:trPr>
          <w:trHeight w:val="44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42A34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42A34" w:rsidRPr="008C5198" w:rsidTr="00DD4489">
        <w:trPr>
          <w:trHeight w:val="5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442A34" w:rsidRPr="008C5198" w:rsidTr="00DD448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5198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95,0</w:t>
            </w:r>
          </w:p>
        </w:tc>
      </w:tr>
      <w:tr w:rsidR="00442A34" w:rsidRPr="008C5198" w:rsidTr="00DD4489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14225,4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100,3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14217,7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14262,7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100,3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4369,3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98,7</w:t>
            </w:r>
          </w:p>
        </w:tc>
      </w:tr>
      <w:tr w:rsidR="00442A34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86,9</w:t>
            </w:r>
          </w:p>
        </w:tc>
      </w:tr>
      <w:tr w:rsidR="00442A34" w:rsidRPr="008C5198" w:rsidTr="00DD4489">
        <w:trPr>
          <w:trHeight w:val="2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81,7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2899,3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107,2</w:t>
            </w:r>
          </w:p>
        </w:tc>
      </w:tr>
      <w:tr w:rsidR="00442A34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113,5</w:t>
            </w:r>
          </w:p>
        </w:tc>
      </w:tr>
      <w:tr w:rsidR="00442A34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113,5</w:t>
            </w:r>
          </w:p>
        </w:tc>
      </w:tr>
      <w:tr w:rsidR="00442A34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42A34" w:rsidRPr="008C5198" w:rsidTr="00DD4489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42A34" w:rsidRPr="008C5198" w:rsidRDefault="00442A34" w:rsidP="00442A34">
            <w:pPr>
              <w:rPr>
                <w:b/>
                <w:bCs/>
              </w:rPr>
            </w:pPr>
            <w:r w:rsidRPr="008C519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</w:rPr>
            </w:pPr>
            <w:r w:rsidRPr="008C519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</w:rPr>
            </w:pPr>
            <w:r w:rsidRPr="008C519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29112,1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42A34" w:rsidRPr="008C5198" w:rsidRDefault="00442A34" w:rsidP="00442A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100,6</w:t>
            </w:r>
          </w:p>
        </w:tc>
      </w:tr>
    </w:tbl>
    <w:p w:rsidR="00975579" w:rsidRDefault="0021202E" w:rsidP="0097557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75579" w:rsidRDefault="00975579" w:rsidP="009755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832D5C">
        <w:rPr>
          <w:rFonts w:ascii="Times New Roman" w:hAnsi="Times New Roman" w:cs="Times New Roman"/>
          <w:b/>
          <w:sz w:val="28"/>
          <w:szCs w:val="28"/>
        </w:rPr>
        <w:t>828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2D5C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2D5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2D5C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579" w:rsidRPr="00DB251A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298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354,7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без изменений. </w:t>
      </w:r>
    </w:p>
    <w:p w:rsidR="00975579" w:rsidRPr="00DB251A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32D5C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2D5C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32D5C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832D5C">
        <w:rPr>
          <w:rFonts w:ascii="Times New Roman" w:hAnsi="Times New Roman" w:cs="Times New Roman"/>
          <w:b/>
          <w:sz w:val="28"/>
          <w:szCs w:val="28"/>
        </w:rPr>
        <w:t xml:space="preserve">1,5 </w:t>
      </w:r>
      <w:r w:rsidR="00AF76F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579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14 2</w:t>
      </w:r>
      <w:r w:rsidR="00AF76FB">
        <w:rPr>
          <w:rFonts w:ascii="Times New Roman" w:hAnsi="Times New Roman" w:cs="Times New Roman"/>
          <w:b/>
          <w:sz w:val="28"/>
          <w:szCs w:val="28"/>
        </w:rPr>
        <w:t>68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76FB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F76FB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76FB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579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4 3</w:t>
      </w:r>
      <w:r w:rsidR="00AF76F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76FB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="00AF76FB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F76F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76F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579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F76FB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76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F76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76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C5198" w:rsidRPr="00BE66FE" w:rsidRDefault="008C5198" w:rsidP="0097557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2352D0">
        <w:rPr>
          <w:rFonts w:ascii="Times New Roman" w:hAnsi="Times New Roman" w:cs="Times New Roman"/>
          <w:b/>
          <w:sz w:val="28"/>
          <w:szCs w:val="28"/>
        </w:rPr>
        <w:t>4</w:t>
      </w:r>
      <w:r w:rsidR="0084306F">
        <w:rPr>
          <w:rFonts w:ascii="Times New Roman" w:hAnsi="Times New Roman" w:cs="Times New Roman"/>
          <w:b/>
          <w:sz w:val="28"/>
          <w:szCs w:val="28"/>
        </w:rPr>
        <w:t>5</w:t>
      </w:r>
      <w:r w:rsidR="002352D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352D0">
        <w:rPr>
          <w:rFonts w:ascii="Times New Roman" w:hAnsi="Times New Roman" w:cs="Times New Roman"/>
          <w:b/>
          <w:sz w:val="28"/>
          <w:szCs w:val="28"/>
        </w:rPr>
        <w:t>2</w:t>
      </w:r>
      <w:r w:rsidR="0084306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4306F">
        <w:rPr>
          <w:rFonts w:ascii="Times New Roman" w:hAnsi="Times New Roman" w:cs="Times New Roman"/>
          <w:b/>
          <w:sz w:val="28"/>
          <w:szCs w:val="28"/>
        </w:rPr>
        <w:t>822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352D0">
        <w:rPr>
          <w:rFonts w:ascii="Times New Roman" w:hAnsi="Times New Roman" w:cs="Times New Roman"/>
          <w:b/>
          <w:sz w:val="28"/>
          <w:szCs w:val="28"/>
        </w:rPr>
        <w:t>1</w:t>
      </w:r>
      <w:r w:rsidR="0084306F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06B96" w:rsidRPr="004A59C0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 w:rsidR="0084306F">
        <w:rPr>
          <w:rFonts w:ascii="Times New Roman" w:hAnsi="Times New Roman" w:cs="Times New Roman"/>
          <w:b/>
          <w:sz w:val="28"/>
          <w:szCs w:val="28"/>
        </w:rPr>
        <w:t>93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 w:rsidR="002352D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2352D0">
        <w:rPr>
          <w:rFonts w:ascii="Times New Roman" w:hAnsi="Times New Roman" w:cs="Times New Roman"/>
          <w:b/>
          <w:sz w:val="28"/>
          <w:szCs w:val="28"/>
        </w:rPr>
        <w:t>2</w:t>
      </w:r>
      <w:r w:rsidR="0084306F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2023 год составляют </w:t>
      </w:r>
      <w:r w:rsidR="0084306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306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и непрограммных расходов на 2023 год представлены в таблице №4.</w:t>
      </w:r>
    </w:p>
    <w:p w:rsidR="00106B96" w:rsidRDefault="00106B96" w:rsidP="00106B9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6B96" w:rsidRDefault="00106B96" w:rsidP="00106B9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Look w:val="04A0"/>
      </w:tblPr>
      <w:tblGrid>
        <w:gridCol w:w="524"/>
        <w:gridCol w:w="4149"/>
        <w:gridCol w:w="1418"/>
        <w:gridCol w:w="992"/>
        <w:gridCol w:w="1134"/>
        <w:gridCol w:w="1134"/>
      </w:tblGrid>
      <w:tr w:rsidR="00106B96" w:rsidRPr="00C724D0" w:rsidTr="0055733C">
        <w:trPr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Pr="00C724D0" w:rsidRDefault="00106B96" w:rsidP="005573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Default="00106B96" w:rsidP="005573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106B96" w:rsidRPr="00C724D0" w:rsidRDefault="00106B96" w:rsidP="005573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решение о бюджете от </w:t>
            </w:r>
            <w:r>
              <w:rPr>
                <w:b/>
                <w:bCs/>
                <w:sz w:val="16"/>
                <w:szCs w:val="16"/>
              </w:rPr>
              <w:t>23</w:t>
            </w:r>
            <w:r w:rsidRPr="0087652B">
              <w:rPr>
                <w:b/>
                <w:bCs/>
                <w:sz w:val="16"/>
                <w:szCs w:val="16"/>
              </w:rPr>
              <w:t>.12.2022 №</w:t>
            </w:r>
            <w:r>
              <w:rPr>
                <w:b/>
                <w:bCs/>
                <w:sz w:val="16"/>
                <w:szCs w:val="16"/>
              </w:rPr>
              <w:t>21</w:t>
            </w:r>
          </w:p>
          <w:p w:rsidR="00106B96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ПРОЕКТ решение о бюджете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откл</w:t>
            </w:r>
            <w:r>
              <w:rPr>
                <w:b/>
                <w:bCs/>
                <w:sz w:val="16"/>
                <w:szCs w:val="16"/>
              </w:rPr>
              <w:t>онение</w:t>
            </w:r>
            <w:proofErr w:type="gramStart"/>
            <w:r w:rsidRPr="0087652B">
              <w:rPr>
                <w:b/>
                <w:bCs/>
                <w:sz w:val="16"/>
                <w:szCs w:val="16"/>
              </w:rPr>
              <w:t xml:space="preserve">                   (+,-)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откл</w:t>
            </w:r>
            <w:r>
              <w:rPr>
                <w:b/>
                <w:bCs/>
                <w:sz w:val="16"/>
                <w:szCs w:val="16"/>
              </w:rPr>
              <w:t>онение</w:t>
            </w:r>
            <w:proofErr w:type="gramStart"/>
            <w:r w:rsidRPr="0087652B">
              <w:rPr>
                <w:b/>
                <w:bCs/>
                <w:sz w:val="16"/>
                <w:szCs w:val="16"/>
              </w:rPr>
              <w:t xml:space="preserve">                   (</w:t>
            </w:r>
            <w:r>
              <w:rPr>
                <w:b/>
                <w:bCs/>
                <w:sz w:val="16"/>
                <w:szCs w:val="16"/>
              </w:rPr>
              <w:t>%</w:t>
            </w:r>
            <w:r w:rsidRPr="0087652B">
              <w:rPr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2B7E0C" w:rsidRPr="00C724D0" w:rsidTr="0055733C">
        <w:trPr>
          <w:trHeight w:val="47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100,4</w:t>
            </w:r>
          </w:p>
        </w:tc>
      </w:tr>
      <w:tr w:rsidR="002B7E0C" w:rsidRPr="00C724D0" w:rsidTr="0055733C">
        <w:trPr>
          <w:trHeight w:val="9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2B7E0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</w:t>
            </w:r>
          </w:p>
        </w:tc>
      </w:tr>
      <w:tr w:rsidR="002B7E0C" w:rsidRPr="00C724D0" w:rsidTr="0055733C">
        <w:trPr>
          <w:trHeight w:val="7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2B7E0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100,3</w:t>
            </w:r>
          </w:p>
        </w:tc>
      </w:tr>
      <w:tr w:rsidR="002B7E0C" w:rsidRPr="00C724D0" w:rsidTr="00ED4F82">
        <w:trPr>
          <w:trHeight w:val="8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2B7E0C" w:rsidRPr="00C724D0" w:rsidTr="00ED4F82">
        <w:trPr>
          <w:trHeight w:val="5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2B7E0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80,8</w:t>
            </w:r>
          </w:p>
        </w:tc>
      </w:tr>
      <w:tr w:rsidR="002B7E0C" w:rsidRPr="00C724D0" w:rsidTr="00ED4F82">
        <w:trPr>
          <w:trHeight w:val="6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2B7E0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107,2</w:t>
            </w:r>
          </w:p>
        </w:tc>
      </w:tr>
      <w:tr w:rsidR="002B7E0C" w:rsidRPr="00C724D0" w:rsidTr="00154C0B">
        <w:trPr>
          <w:trHeight w:val="6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2B7E0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86,9</w:t>
            </w:r>
          </w:p>
        </w:tc>
      </w:tr>
      <w:tr w:rsidR="002B7E0C" w:rsidRPr="00C724D0" w:rsidTr="0055733C">
        <w:trPr>
          <w:trHeight w:val="9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C724D0" w:rsidRDefault="002B7E0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5733C" w:rsidRDefault="002B7E0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413632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2B7E0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B7E0C" w:rsidRPr="00C724D0" w:rsidRDefault="002B7E0C" w:rsidP="0055733C">
            <w:pPr>
              <w:jc w:val="center"/>
              <w:rPr>
                <w:sz w:val="20"/>
                <w:szCs w:val="20"/>
              </w:rPr>
            </w:pPr>
            <w:r w:rsidRPr="00C724D0">
              <w:rPr>
                <w:sz w:val="20"/>
                <w:szCs w:val="2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B7E0C" w:rsidRPr="00C724D0" w:rsidRDefault="002B7E0C" w:rsidP="0055733C">
            <w:pPr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B7E0C" w:rsidRPr="00C724D0" w:rsidRDefault="002B7E0C" w:rsidP="009974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B7E0C" w:rsidRPr="00C724D0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B7E0C" w:rsidRPr="00C724D0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2B7E0C" w:rsidRPr="00CE7C30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100,1</w:t>
            </w:r>
          </w:p>
        </w:tc>
      </w:tr>
      <w:tr w:rsidR="002B7E0C" w:rsidRPr="00C724D0" w:rsidTr="0055733C">
        <w:trPr>
          <w:trHeight w:val="26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Default="002B7E0C" w:rsidP="005573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Непрограммные расходы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413632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E4248B" w:rsidRDefault="002B7E0C" w:rsidP="0055733C">
            <w:pPr>
              <w:rPr>
                <w:bCs/>
                <w:sz w:val="20"/>
                <w:szCs w:val="20"/>
              </w:rPr>
            </w:pPr>
            <w:r w:rsidRPr="00E4248B">
              <w:rPr>
                <w:bCs/>
                <w:sz w:val="20"/>
                <w:szCs w:val="20"/>
              </w:rPr>
              <w:t>Глава</w:t>
            </w:r>
            <w:r>
              <w:rPr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113,0</w:t>
            </w:r>
          </w:p>
        </w:tc>
      </w:tr>
      <w:tr w:rsidR="002B7E0C" w:rsidRPr="003C3869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55733C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 w:rsidRPr="0055733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9E3EBC" w:rsidRDefault="002B7E0C" w:rsidP="0055733C">
            <w:pPr>
              <w:rPr>
                <w:bCs/>
                <w:sz w:val="20"/>
                <w:szCs w:val="20"/>
              </w:rPr>
            </w:pPr>
            <w:r w:rsidRPr="009E3EBC">
              <w:rPr>
                <w:bCs/>
                <w:sz w:val="20"/>
                <w:szCs w:val="20"/>
              </w:rPr>
              <w:t xml:space="preserve">Резервный фонд Администрации </w:t>
            </w:r>
            <w:r>
              <w:rPr>
                <w:bCs/>
                <w:sz w:val="20"/>
                <w:szCs w:val="20"/>
              </w:rPr>
              <w:t>Семлевского</w:t>
            </w:r>
            <w:r w:rsidRPr="009E3EBC">
              <w:rPr>
                <w:bCs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C08BD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C08B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C08B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5C08B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100,0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413632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E4248B" w:rsidRDefault="002B7E0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2B7E0C" w:rsidRPr="00C412BC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413632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E4248B" w:rsidRDefault="002B7E0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413632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Default="002B7E0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Расходы на проведение </w:t>
            </w:r>
            <w:proofErr w:type="spellStart"/>
            <w:r>
              <w:rPr>
                <w:bCs/>
                <w:sz w:val="20"/>
                <w:szCs w:val="20"/>
              </w:rPr>
              <w:t>деретизации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413632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E4248B" w:rsidRDefault="002B7E0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113,5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413632" w:rsidRDefault="002B7E0C" w:rsidP="0055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7E0C" w:rsidRPr="00E4248B" w:rsidRDefault="002B7E0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99749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E0C" w:rsidRPr="003A6CAD" w:rsidRDefault="002B7E0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108,3</w:t>
            </w:r>
          </w:p>
        </w:tc>
      </w:tr>
      <w:tr w:rsidR="002B7E0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2B7E0C" w:rsidRPr="00C724D0" w:rsidRDefault="002B7E0C" w:rsidP="0055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2B7E0C" w:rsidRPr="00C724D0" w:rsidRDefault="002B7E0C" w:rsidP="005573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B7E0C" w:rsidRDefault="002B7E0C" w:rsidP="009974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B7E0C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B7E0C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7E0C" w:rsidRPr="00C724D0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108,5</w:t>
            </w:r>
          </w:p>
        </w:tc>
      </w:tr>
      <w:tr w:rsidR="002B7E0C" w:rsidRPr="00C724D0" w:rsidTr="0055733C">
        <w:trPr>
          <w:trHeight w:val="26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B7E0C" w:rsidRPr="00C724D0" w:rsidRDefault="002B7E0C" w:rsidP="005573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E0C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E0C" w:rsidRDefault="002B7E0C" w:rsidP="009974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29276,0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E0C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7E0C" w:rsidRPr="00C724D0" w:rsidRDefault="002B7E0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100,6</w:t>
            </w:r>
          </w:p>
        </w:tc>
      </w:tr>
    </w:tbl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387" w:rsidRDefault="00856387" w:rsidP="008563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27 4</w:t>
      </w:r>
      <w:r w:rsidR="00D90948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90948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9094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90948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D90948">
        <w:rPr>
          <w:rFonts w:ascii="Times New Roman" w:hAnsi="Times New Roman" w:cs="Times New Roman"/>
          <w:sz w:val="28"/>
          <w:szCs w:val="28"/>
        </w:rPr>
        <w:t xml:space="preserve"> Изменения вносятся во все восемь муниципальных программ.</w:t>
      </w:r>
    </w:p>
    <w:p w:rsidR="00D90948" w:rsidRDefault="00D90948" w:rsidP="00D909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по трем муниципальным программам:</w:t>
      </w:r>
    </w:p>
    <w:p w:rsidR="00D90948" w:rsidRDefault="00D90948" w:rsidP="00D90948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реализацию муниципальной программы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управления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36,3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0,4%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90948" w:rsidRDefault="00D90948" w:rsidP="00D90948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</w:t>
      </w:r>
      <w:r w:rsidR="00A0750B" w:rsidRPr="00A0750B">
        <w:rPr>
          <w:rFonts w:ascii="Times New Roman" w:hAnsi="Times New Roman" w:cs="Times New Roman"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</w:t>
      </w:r>
      <w:proofErr w:type="spellStart"/>
      <w:r w:rsidR="00A0750B" w:rsidRPr="00A0750B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A0750B" w:rsidRPr="00A075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0750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0750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A0750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0750B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90948" w:rsidRDefault="00D90948" w:rsidP="00D90948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</w:t>
      </w:r>
      <w:r w:rsidR="00C07007" w:rsidRPr="00C07007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="00C07007" w:rsidRPr="00C07007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C07007" w:rsidRPr="00C070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C07007">
        <w:rPr>
          <w:rFonts w:ascii="Times New Roman" w:hAnsi="Times New Roman" w:cs="Times New Roman"/>
          <w:b/>
          <w:bCs/>
          <w:sz w:val="28"/>
          <w:szCs w:val="28"/>
        </w:rPr>
        <w:t>211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07007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C07007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0700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%.</w:t>
      </w:r>
    </w:p>
    <w:p w:rsidR="00315598" w:rsidRDefault="00315598" w:rsidP="00315598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Уменьшены расходы по пяти муниципальным программам:</w:t>
      </w:r>
    </w:p>
    <w:p w:rsidR="00315598" w:rsidRDefault="00315598" w:rsidP="003155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реализацию муниципальной программы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315598">
        <w:rPr>
          <w:rFonts w:ascii="Times New Roman" w:hAnsi="Times New Roman" w:cs="Times New Roman"/>
          <w:sz w:val="28"/>
          <w:szCs w:val="28"/>
        </w:rPr>
        <w:t xml:space="preserve">Профилактика терроризма и экстремизма на территории </w:t>
      </w:r>
      <w:proofErr w:type="spellStart"/>
      <w:r w:rsidRPr="00315598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3155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65,0%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598" w:rsidRDefault="00315598" w:rsidP="003155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реализацию муниципальной программы «</w:t>
      </w:r>
      <w:r w:rsidR="008F3732" w:rsidRPr="008F3732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 w:rsidR="008F3732"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8F3732"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8F373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F373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598" w:rsidRDefault="00315598" w:rsidP="003155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 «</w:t>
      </w:r>
      <w:r w:rsidR="008F3732" w:rsidRPr="008F3732">
        <w:rPr>
          <w:rFonts w:ascii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 w:rsidR="008F3732"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8F3732"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8F373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373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8F3732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598" w:rsidRDefault="00315598" w:rsidP="003155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 «</w:t>
      </w:r>
      <w:r w:rsidR="008F3732" w:rsidRPr="008F3732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</w:r>
      <w:proofErr w:type="spellStart"/>
      <w:r w:rsidR="008F3732"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8F3732"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8F3732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8F3732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598" w:rsidRDefault="00315598" w:rsidP="00315598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96D84">
        <w:rPr>
          <w:rFonts w:ascii="Times New Roman" w:hAnsi="Times New Roman" w:cs="Times New Roman"/>
          <w:bCs/>
          <w:sz w:val="28"/>
          <w:szCs w:val="28"/>
        </w:rPr>
        <w:t>на реализацию муниципальной программы «</w:t>
      </w:r>
      <w:r w:rsidR="008F3732" w:rsidRPr="008F3732">
        <w:rPr>
          <w:rFonts w:ascii="Times New Roman" w:hAnsi="Times New Roman" w:cs="Times New Roman"/>
          <w:sz w:val="28"/>
          <w:szCs w:val="28"/>
        </w:rPr>
        <w:t xml:space="preserve">Развитие субъектов малого и среднего предпринимательства на территории </w:t>
      </w:r>
      <w:proofErr w:type="spellStart"/>
      <w:r w:rsidR="008F3732"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="008F3732"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8F373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F373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8F3732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,0%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D90948" w:rsidRPr="00DB251A" w:rsidRDefault="00D90948" w:rsidP="008563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32D" w:rsidRDefault="002B632D" w:rsidP="002B6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9544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Непрограммные расходы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31179">
        <w:rPr>
          <w:rFonts w:ascii="Times New Roman" w:hAnsi="Times New Roman" w:cs="Times New Roman"/>
          <w:b/>
          <w:sz w:val="28"/>
          <w:szCs w:val="28"/>
        </w:rPr>
        <w:t>822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1179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1179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117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0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65" w:rsidRDefault="00981665" w:rsidP="00981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изменения по следующим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981665" w:rsidRDefault="00981665" w:rsidP="0098166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Главу муниципального образования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859,8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13,0%;</w:t>
      </w:r>
    </w:p>
    <w:p w:rsidR="00981665" w:rsidRDefault="00981665" w:rsidP="00981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расходы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100,0%;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65" w:rsidRDefault="00981665" w:rsidP="00981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пенсии, социальные доплаты к пенсиям предлагаются к утверждению в сумме </w:t>
      </w:r>
      <w:r w:rsidR="00AF00EA">
        <w:rPr>
          <w:rFonts w:ascii="Times New Roman" w:hAnsi="Times New Roman" w:cs="Times New Roman"/>
          <w:b/>
          <w:sz w:val="28"/>
          <w:szCs w:val="28"/>
        </w:rPr>
        <w:t xml:space="preserve">476,6 </w:t>
      </w:r>
      <w:r w:rsidR="00AF00E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F00EA" w:rsidRPr="00AF00EA">
        <w:rPr>
          <w:rFonts w:ascii="Times New Roman" w:hAnsi="Times New Roman" w:cs="Times New Roman"/>
          <w:b/>
          <w:sz w:val="28"/>
          <w:szCs w:val="28"/>
        </w:rPr>
        <w:t>56,6</w:t>
      </w:r>
      <w:r w:rsidR="00AF00EA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F00EA">
        <w:rPr>
          <w:rFonts w:ascii="Times New Roman" w:hAnsi="Times New Roman" w:cs="Times New Roman"/>
          <w:b/>
          <w:sz w:val="28"/>
          <w:szCs w:val="28"/>
        </w:rPr>
        <w:t>13,5</w:t>
      </w:r>
      <w:r w:rsidR="00AF00EA">
        <w:rPr>
          <w:rFonts w:ascii="Times New Roman" w:hAnsi="Times New Roman" w:cs="Times New Roman"/>
          <w:sz w:val="28"/>
          <w:szCs w:val="28"/>
        </w:rPr>
        <w:t>%</w:t>
      </w:r>
      <w:r w:rsidR="00AF00E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65" w:rsidRDefault="00981665" w:rsidP="0098166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межбюджетным трансфертам предлагаются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00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00E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F00EA">
        <w:rPr>
          <w:rFonts w:ascii="Times New Roman" w:hAnsi="Times New Roman" w:cs="Times New Roman"/>
          <w:b/>
          <w:sz w:val="28"/>
          <w:szCs w:val="28"/>
        </w:rPr>
        <w:t>2</w:t>
      </w:r>
      <w:r w:rsidRPr="00363949">
        <w:rPr>
          <w:rFonts w:ascii="Times New Roman" w:hAnsi="Times New Roman" w:cs="Times New Roman"/>
          <w:b/>
          <w:sz w:val="28"/>
          <w:szCs w:val="28"/>
        </w:rPr>
        <w:t>,</w:t>
      </w:r>
      <w:r w:rsidR="00AF00E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F00E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00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AF00EA">
        <w:rPr>
          <w:rFonts w:ascii="Times New Roman" w:hAnsi="Times New Roman" w:cs="Times New Roman"/>
          <w:b/>
          <w:sz w:val="28"/>
          <w:szCs w:val="28"/>
        </w:rPr>
        <w:t>.</w:t>
      </w:r>
    </w:p>
    <w:p w:rsidR="00981665" w:rsidRDefault="00981665" w:rsidP="002B6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4816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08BE">
        <w:rPr>
          <w:rFonts w:ascii="Times New Roman" w:hAnsi="Times New Roman" w:cs="Times New Roman"/>
          <w:b/>
          <w:sz w:val="28"/>
          <w:szCs w:val="28"/>
        </w:rPr>
        <w:t>3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DC0D5D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428,8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</w:t>
      </w:r>
      <w:r w:rsidR="005178E4">
        <w:rPr>
          <w:rFonts w:ascii="Times New Roman" w:hAnsi="Times New Roman" w:cs="Times New Roman"/>
          <w:sz w:val="28"/>
          <w:szCs w:val="28"/>
        </w:rPr>
        <w:t xml:space="preserve"> на </w:t>
      </w:r>
      <w:r w:rsidR="005178E4" w:rsidRPr="005178E4">
        <w:rPr>
          <w:rFonts w:ascii="Times New Roman" w:hAnsi="Times New Roman" w:cs="Times New Roman"/>
          <w:b/>
          <w:sz w:val="28"/>
          <w:szCs w:val="28"/>
        </w:rPr>
        <w:t>2023</w:t>
      </w:r>
      <w:r w:rsidR="005178E4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4816AF">
        <w:rPr>
          <w:rFonts w:ascii="Times New Roman" w:hAnsi="Times New Roman" w:cs="Times New Roman"/>
          <w:b/>
          <w:sz w:val="28"/>
          <w:szCs w:val="28"/>
        </w:rPr>
        <w:t>28</w:t>
      </w:r>
      <w:r w:rsidR="007408BE">
        <w:rPr>
          <w:rFonts w:ascii="Times New Roman" w:hAnsi="Times New Roman" w:cs="Times New Roman"/>
          <w:b/>
          <w:sz w:val="28"/>
          <w:szCs w:val="28"/>
        </w:rPr>
        <w:t> </w:t>
      </w:r>
      <w:r w:rsidR="00AF00EA">
        <w:rPr>
          <w:rFonts w:ascii="Times New Roman" w:hAnsi="Times New Roman" w:cs="Times New Roman"/>
          <w:b/>
          <w:sz w:val="28"/>
          <w:szCs w:val="28"/>
        </w:rPr>
        <w:t>847</w:t>
      </w:r>
      <w:r w:rsidR="007408BE">
        <w:rPr>
          <w:rFonts w:ascii="Times New Roman" w:hAnsi="Times New Roman" w:cs="Times New Roman"/>
          <w:b/>
          <w:sz w:val="28"/>
          <w:szCs w:val="28"/>
        </w:rPr>
        <w:t>,</w:t>
      </w:r>
      <w:r w:rsidR="00AF00EA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4816AF">
        <w:rPr>
          <w:rFonts w:ascii="Times New Roman" w:hAnsi="Times New Roman" w:cs="Times New Roman"/>
          <w:b/>
          <w:sz w:val="28"/>
          <w:szCs w:val="28"/>
        </w:rPr>
        <w:t>29</w:t>
      </w:r>
      <w:r w:rsidR="007408BE">
        <w:rPr>
          <w:rFonts w:ascii="Times New Roman" w:hAnsi="Times New Roman" w:cs="Times New Roman"/>
          <w:b/>
          <w:sz w:val="28"/>
          <w:szCs w:val="28"/>
        </w:rPr>
        <w:t> </w:t>
      </w:r>
      <w:r w:rsidR="00AF00EA">
        <w:rPr>
          <w:rFonts w:ascii="Times New Roman" w:hAnsi="Times New Roman" w:cs="Times New Roman"/>
          <w:b/>
          <w:sz w:val="28"/>
          <w:szCs w:val="28"/>
        </w:rPr>
        <w:t>276</w:t>
      </w:r>
      <w:r w:rsidR="007408BE">
        <w:rPr>
          <w:rFonts w:ascii="Times New Roman" w:hAnsi="Times New Roman" w:cs="Times New Roman"/>
          <w:b/>
          <w:sz w:val="28"/>
          <w:szCs w:val="28"/>
        </w:rPr>
        <w:t>,</w:t>
      </w:r>
      <w:r w:rsidR="00AF00EA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5178E4" w:rsidRDefault="005178E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B85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5361A" w:rsidRDefault="0015361A" w:rsidP="004223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44F">
        <w:rPr>
          <w:rFonts w:ascii="Times New Roman" w:hAnsi="Times New Roman" w:cs="Times New Roman"/>
          <w:sz w:val="28"/>
          <w:szCs w:val="28"/>
        </w:rPr>
        <w:t>1.</w:t>
      </w:r>
      <w:r w:rsidRPr="001C44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C444F">
        <w:rPr>
          <w:rFonts w:ascii="Times New Roman" w:hAnsi="Times New Roman" w:cs="Times New Roman"/>
          <w:sz w:val="28"/>
          <w:szCs w:val="28"/>
        </w:rPr>
        <w:t xml:space="preserve">Согласно проекта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Вяземского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Смоленской области от 23.12.2022 №21 «О бюджете Семлевского сельского поселения Вяземского района Смоленской области на 2023 год и плановый период 2024 и 2025 годов» </w:t>
      </w:r>
      <w:r w:rsidRPr="001C444F">
        <w:rPr>
          <w:rFonts w:ascii="Times New Roman" w:hAnsi="Times New Roman" w:cs="Times New Roman"/>
          <w:b/>
          <w:sz w:val="28"/>
          <w:szCs w:val="28"/>
          <w:u w:val="single"/>
        </w:rPr>
        <w:t>планируется внести изменения в показатели 2023 года, показатели планового периода 2024 и</w:t>
      </w:r>
      <w:proofErr w:type="gramEnd"/>
      <w:r w:rsidRPr="001C444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годов – не изменяются.</w:t>
      </w:r>
    </w:p>
    <w:p w:rsidR="00422306" w:rsidRPr="00DB251A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 xml:space="preserve">на </w:t>
      </w:r>
      <w:r w:rsidRPr="001C444F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2E7F0A">
        <w:rPr>
          <w:rFonts w:ascii="Times New Roman" w:hAnsi="Times New Roman" w:cs="Times New Roman"/>
          <w:b/>
          <w:sz w:val="28"/>
          <w:szCs w:val="28"/>
        </w:rPr>
        <w:t>847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7F0A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(или на </w:t>
      </w:r>
      <w:r w:rsidR="002E7F0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из них: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8060,8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E7F0A">
        <w:rPr>
          <w:rFonts w:ascii="Times New Roman" w:hAnsi="Times New Roman" w:cs="Times New Roman"/>
          <w:b/>
          <w:sz w:val="28"/>
          <w:szCs w:val="28"/>
        </w:rPr>
        <w:t>786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7F0A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2E7F0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422306" w:rsidRPr="00DB251A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E7F0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E7F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FDA" w:rsidRDefault="00500FDA" w:rsidP="00500F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90C1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29 2</w:t>
      </w:r>
      <w:r w:rsidR="002E7F0A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7F0A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2E7F0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0628" w:rsidRDefault="00620628" w:rsidP="006206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муниципальных программ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27 4</w:t>
      </w:r>
      <w:r w:rsidR="002E7F0A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E7F0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2E7F0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E7F0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30CD" w:rsidRPr="00DB251A" w:rsidRDefault="004330CD" w:rsidP="00433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во все восемь муниципальных программ.</w:t>
      </w:r>
    </w:p>
    <w:p w:rsidR="004330CD" w:rsidRDefault="004330CD" w:rsidP="004330C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 xml:space="preserve">по трем муниципальным программам: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управления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A0750B">
        <w:rPr>
          <w:rFonts w:ascii="Times New Roman" w:hAnsi="Times New Roman" w:cs="Times New Roman"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</w:t>
      </w:r>
      <w:proofErr w:type="spellStart"/>
      <w:r w:rsidRPr="00A0750B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A075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C07007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Pr="00C07007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C070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330CD" w:rsidRDefault="004330CD" w:rsidP="00433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по пяти муниципальным программам: </w:t>
      </w:r>
      <w:proofErr w:type="gramStart"/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315598">
        <w:rPr>
          <w:rFonts w:ascii="Times New Roman" w:hAnsi="Times New Roman" w:cs="Times New Roman"/>
          <w:sz w:val="28"/>
          <w:szCs w:val="28"/>
        </w:rPr>
        <w:t xml:space="preserve">Профилактика терроризма и экстремизма на территории </w:t>
      </w:r>
      <w:proofErr w:type="spellStart"/>
      <w:r w:rsidRPr="00315598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3155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F3732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F3732">
        <w:rPr>
          <w:rFonts w:ascii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F3732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</w:r>
      <w:proofErr w:type="spellStart"/>
      <w:r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proofErr w:type="gramEnd"/>
      <w:r w:rsidRPr="008F373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896D84">
        <w:rPr>
          <w:rFonts w:ascii="Times New Roman" w:hAnsi="Times New Roman" w:cs="Times New Roman"/>
          <w:bCs/>
          <w:sz w:val="28"/>
          <w:szCs w:val="28"/>
        </w:rPr>
        <w:t>«</w:t>
      </w:r>
      <w:r w:rsidRPr="008F3732">
        <w:rPr>
          <w:rFonts w:ascii="Times New Roman" w:hAnsi="Times New Roman" w:cs="Times New Roman"/>
          <w:sz w:val="28"/>
          <w:szCs w:val="28"/>
        </w:rPr>
        <w:t xml:space="preserve">Развитие субъектов малого и среднего предпринимательства на территории </w:t>
      </w:r>
      <w:proofErr w:type="spellStart"/>
      <w:r w:rsidRPr="008F3732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8F3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896D8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719A" w:rsidRDefault="0032719A" w:rsidP="003271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4330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30C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>29 2</w:t>
      </w:r>
      <w:r w:rsidR="004330CD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30C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677AEC" w:rsidRDefault="00677AEC" w:rsidP="00677A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</w:t>
      </w:r>
      <w:r w:rsidR="00277DFE">
        <w:rPr>
          <w:rFonts w:ascii="Times New Roman" w:hAnsi="Times New Roman" w:cs="Times New Roman"/>
          <w:b/>
          <w:sz w:val="28"/>
          <w:szCs w:val="28"/>
        </w:rPr>
        <w:t>822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7D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77DFE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7DF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277DF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7DF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5AA1" w:rsidRDefault="00745AA1" w:rsidP="00745A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277DF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7DF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 (</w:t>
      </w:r>
      <w:r>
        <w:rPr>
          <w:rFonts w:ascii="Times New Roman" w:hAnsi="Times New Roman" w:cs="Times New Roman"/>
          <w:b/>
          <w:sz w:val="28"/>
          <w:szCs w:val="28"/>
        </w:rPr>
        <w:t>29 2</w:t>
      </w:r>
      <w:r w:rsidR="00277DFE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7D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6F5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862B1C" w:rsidRDefault="00862B1C" w:rsidP="0086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Pr="007B534F">
        <w:rPr>
          <w:rFonts w:ascii="Times New Roman" w:hAnsi="Times New Roman" w:cs="Times New Roman"/>
          <w:b/>
          <w:sz w:val="28"/>
          <w:szCs w:val="28"/>
        </w:rPr>
        <w:t>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B1C" w:rsidRPr="004A59C0" w:rsidRDefault="00862B1C" w:rsidP="00745A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 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7A6FAB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23.12.2022 №21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  <w:r w:rsidRPr="00E0603C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6" w:rsidRDefault="00182BE6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92" w:rsidRPr="000912C9" w:rsidRDefault="007D1992" w:rsidP="007D1992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7D1992" w:rsidRPr="000912C9" w:rsidRDefault="007D1992" w:rsidP="007D1992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82BE6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82BE6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7D1992" w:rsidRPr="000912C9" w:rsidRDefault="007D1992" w:rsidP="007D1992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A764F3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7D1992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D1992">
        <w:rPr>
          <w:rFonts w:ascii="Times New Roman" w:hAnsi="Times New Roman" w:cs="Times New Roman"/>
          <w:sz w:val="28"/>
          <w:szCs w:val="28"/>
        </w:rPr>
        <w:t>М</w:t>
      </w:r>
      <w:r w:rsidR="007408BE">
        <w:rPr>
          <w:rFonts w:ascii="Times New Roman" w:hAnsi="Times New Roman" w:cs="Times New Roman"/>
          <w:sz w:val="28"/>
          <w:szCs w:val="28"/>
        </w:rPr>
        <w:t>.</w:t>
      </w:r>
      <w:r w:rsidR="007D1992">
        <w:rPr>
          <w:rFonts w:ascii="Times New Roman" w:hAnsi="Times New Roman" w:cs="Times New Roman"/>
          <w:sz w:val="28"/>
          <w:szCs w:val="28"/>
        </w:rPr>
        <w:t>М</w:t>
      </w:r>
      <w:r w:rsidR="007408BE">
        <w:rPr>
          <w:rFonts w:ascii="Times New Roman" w:hAnsi="Times New Roman" w:cs="Times New Roman"/>
          <w:sz w:val="28"/>
          <w:szCs w:val="28"/>
        </w:rPr>
        <w:t xml:space="preserve">. </w:t>
      </w:r>
      <w:r w:rsidR="007D1992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F2" w:rsidRDefault="00C962F2" w:rsidP="00482AB3">
      <w:r>
        <w:separator/>
      </w:r>
    </w:p>
  </w:endnote>
  <w:endnote w:type="continuationSeparator" w:id="0">
    <w:p w:rsidR="00C962F2" w:rsidRDefault="00C962F2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4243197"/>
      <w:docPartObj>
        <w:docPartGallery w:val="Page Numbers (Bottom of Page)"/>
        <w:docPartUnique/>
      </w:docPartObj>
    </w:sdtPr>
    <w:sdtContent>
      <w:p w:rsidR="00832D5C" w:rsidRDefault="00832D5C">
        <w:pPr>
          <w:pStyle w:val="ab"/>
          <w:jc w:val="right"/>
        </w:pPr>
        <w:fldSimple w:instr="PAGE   \* MERGEFORMAT">
          <w:r w:rsidR="007A6FAB">
            <w:rPr>
              <w:noProof/>
            </w:rPr>
            <w:t>11</w:t>
          </w:r>
        </w:fldSimple>
      </w:p>
    </w:sdtContent>
  </w:sdt>
  <w:p w:rsidR="00832D5C" w:rsidRDefault="00832D5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F2" w:rsidRDefault="00C962F2" w:rsidP="00482AB3">
      <w:r>
        <w:separator/>
      </w:r>
    </w:p>
  </w:footnote>
  <w:footnote w:type="continuationSeparator" w:id="0">
    <w:p w:rsidR="00C962F2" w:rsidRDefault="00C962F2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4BC0"/>
    <w:rsid w:val="00006152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5A3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ED6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4A76"/>
    <w:rsid w:val="000C5316"/>
    <w:rsid w:val="000C5A11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D33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6B9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277BB"/>
    <w:rsid w:val="0013008D"/>
    <w:rsid w:val="001304B0"/>
    <w:rsid w:val="00133522"/>
    <w:rsid w:val="0013386C"/>
    <w:rsid w:val="00133A18"/>
    <w:rsid w:val="00134C84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361A"/>
    <w:rsid w:val="00154C0B"/>
    <w:rsid w:val="001551F3"/>
    <w:rsid w:val="00156469"/>
    <w:rsid w:val="001575B2"/>
    <w:rsid w:val="00161CE5"/>
    <w:rsid w:val="0016201D"/>
    <w:rsid w:val="00162021"/>
    <w:rsid w:val="0016382C"/>
    <w:rsid w:val="00164767"/>
    <w:rsid w:val="00166353"/>
    <w:rsid w:val="0016698B"/>
    <w:rsid w:val="00166A8A"/>
    <w:rsid w:val="00166F86"/>
    <w:rsid w:val="00170B5D"/>
    <w:rsid w:val="0017209C"/>
    <w:rsid w:val="00172359"/>
    <w:rsid w:val="00172374"/>
    <w:rsid w:val="001729BF"/>
    <w:rsid w:val="00174E03"/>
    <w:rsid w:val="00175832"/>
    <w:rsid w:val="00175A45"/>
    <w:rsid w:val="00176852"/>
    <w:rsid w:val="00180C81"/>
    <w:rsid w:val="00180D11"/>
    <w:rsid w:val="00182BE6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D7CA9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02E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52D0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871"/>
    <w:rsid w:val="00254DB7"/>
    <w:rsid w:val="00254EB5"/>
    <w:rsid w:val="00256C2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5EE1"/>
    <w:rsid w:val="002771BF"/>
    <w:rsid w:val="00277DFE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32D"/>
    <w:rsid w:val="002B7277"/>
    <w:rsid w:val="002B79B0"/>
    <w:rsid w:val="002B7E0C"/>
    <w:rsid w:val="002C254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E7F0A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5598"/>
    <w:rsid w:val="00315EAF"/>
    <w:rsid w:val="00317CD2"/>
    <w:rsid w:val="00321A59"/>
    <w:rsid w:val="00322174"/>
    <w:rsid w:val="0032380F"/>
    <w:rsid w:val="003238C9"/>
    <w:rsid w:val="003249AE"/>
    <w:rsid w:val="00325A2A"/>
    <w:rsid w:val="0032719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2902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255"/>
    <w:rsid w:val="003B3D68"/>
    <w:rsid w:val="003B4849"/>
    <w:rsid w:val="003B6A14"/>
    <w:rsid w:val="003B748C"/>
    <w:rsid w:val="003C0758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61C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306"/>
    <w:rsid w:val="00422866"/>
    <w:rsid w:val="00423A41"/>
    <w:rsid w:val="004241F7"/>
    <w:rsid w:val="00424831"/>
    <w:rsid w:val="00425684"/>
    <w:rsid w:val="00427232"/>
    <w:rsid w:val="00427C0C"/>
    <w:rsid w:val="0043009A"/>
    <w:rsid w:val="0043040C"/>
    <w:rsid w:val="0043124A"/>
    <w:rsid w:val="004330CD"/>
    <w:rsid w:val="004348F5"/>
    <w:rsid w:val="0043492B"/>
    <w:rsid w:val="00434BBD"/>
    <w:rsid w:val="00435536"/>
    <w:rsid w:val="0043637E"/>
    <w:rsid w:val="00436BAF"/>
    <w:rsid w:val="00440544"/>
    <w:rsid w:val="00442076"/>
    <w:rsid w:val="00442A34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4512"/>
    <w:rsid w:val="004754D9"/>
    <w:rsid w:val="0047588F"/>
    <w:rsid w:val="00476535"/>
    <w:rsid w:val="00477C92"/>
    <w:rsid w:val="0048103E"/>
    <w:rsid w:val="004816AF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79E"/>
    <w:rsid w:val="004D7900"/>
    <w:rsid w:val="004E3A59"/>
    <w:rsid w:val="004E3AE8"/>
    <w:rsid w:val="004E4061"/>
    <w:rsid w:val="004F2D8C"/>
    <w:rsid w:val="004F3681"/>
    <w:rsid w:val="004F4656"/>
    <w:rsid w:val="004F6559"/>
    <w:rsid w:val="00500FDA"/>
    <w:rsid w:val="00503847"/>
    <w:rsid w:val="00504F1E"/>
    <w:rsid w:val="00506439"/>
    <w:rsid w:val="005101D9"/>
    <w:rsid w:val="00513D93"/>
    <w:rsid w:val="00514A3B"/>
    <w:rsid w:val="00514D78"/>
    <w:rsid w:val="005178E4"/>
    <w:rsid w:val="00517C9C"/>
    <w:rsid w:val="00520B20"/>
    <w:rsid w:val="005221C2"/>
    <w:rsid w:val="00522950"/>
    <w:rsid w:val="00522F88"/>
    <w:rsid w:val="005247F6"/>
    <w:rsid w:val="00524FB0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5733C"/>
    <w:rsid w:val="00560DD8"/>
    <w:rsid w:val="005636A0"/>
    <w:rsid w:val="00564490"/>
    <w:rsid w:val="0056473D"/>
    <w:rsid w:val="0056745F"/>
    <w:rsid w:val="0057271C"/>
    <w:rsid w:val="00572BB3"/>
    <w:rsid w:val="00573483"/>
    <w:rsid w:val="00575F8E"/>
    <w:rsid w:val="00576A60"/>
    <w:rsid w:val="00577538"/>
    <w:rsid w:val="00580E5D"/>
    <w:rsid w:val="00582DA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66A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2B57"/>
    <w:rsid w:val="005C357E"/>
    <w:rsid w:val="005C5E0D"/>
    <w:rsid w:val="005C6B28"/>
    <w:rsid w:val="005C7013"/>
    <w:rsid w:val="005D0392"/>
    <w:rsid w:val="005D1782"/>
    <w:rsid w:val="005D212B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508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4605"/>
    <w:rsid w:val="00605C2A"/>
    <w:rsid w:val="00612628"/>
    <w:rsid w:val="00613C44"/>
    <w:rsid w:val="00613CDD"/>
    <w:rsid w:val="00614C2D"/>
    <w:rsid w:val="00615044"/>
    <w:rsid w:val="00616F7C"/>
    <w:rsid w:val="00620628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3C8C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1C4A"/>
    <w:rsid w:val="006733A8"/>
    <w:rsid w:val="00674002"/>
    <w:rsid w:val="006747DA"/>
    <w:rsid w:val="00676526"/>
    <w:rsid w:val="006777DD"/>
    <w:rsid w:val="0067783A"/>
    <w:rsid w:val="00677AEC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5F29"/>
    <w:rsid w:val="006C4187"/>
    <w:rsid w:val="006C4852"/>
    <w:rsid w:val="006C58E5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058F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272A1"/>
    <w:rsid w:val="00731179"/>
    <w:rsid w:val="0073222B"/>
    <w:rsid w:val="00732F64"/>
    <w:rsid w:val="00733148"/>
    <w:rsid w:val="0073469C"/>
    <w:rsid w:val="00734F3B"/>
    <w:rsid w:val="00736BB5"/>
    <w:rsid w:val="007379D5"/>
    <w:rsid w:val="007408BE"/>
    <w:rsid w:val="00741124"/>
    <w:rsid w:val="007415DC"/>
    <w:rsid w:val="007426C1"/>
    <w:rsid w:val="00744B28"/>
    <w:rsid w:val="007457D1"/>
    <w:rsid w:val="00745AA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6FAB"/>
    <w:rsid w:val="007A7EB0"/>
    <w:rsid w:val="007B09C5"/>
    <w:rsid w:val="007B0F32"/>
    <w:rsid w:val="007B1C6E"/>
    <w:rsid w:val="007B2F2B"/>
    <w:rsid w:val="007B5C0F"/>
    <w:rsid w:val="007B5EEF"/>
    <w:rsid w:val="007B7429"/>
    <w:rsid w:val="007B7C5A"/>
    <w:rsid w:val="007C3C64"/>
    <w:rsid w:val="007C3CCB"/>
    <w:rsid w:val="007C569E"/>
    <w:rsid w:val="007C6C6F"/>
    <w:rsid w:val="007C728A"/>
    <w:rsid w:val="007C7338"/>
    <w:rsid w:val="007D0125"/>
    <w:rsid w:val="007D0DDA"/>
    <w:rsid w:val="007D16A1"/>
    <w:rsid w:val="007D1992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1F29"/>
    <w:rsid w:val="0081385E"/>
    <w:rsid w:val="008139F9"/>
    <w:rsid w:val="00817266"/>
    <w:rsid w:val="00821A1B"/>
    <w:rsid w:val="0082244D"/>
    <w:rsid w:val="00824A2E"/>
    <w:rsid w:val="00830E5C"/>
    <w:rsid w:val="00832D5C"/>
    <w:rsid w:val="00833C78"/>
    <w:rsid w:val="0083662B"/>
    <w:rsid w:val="00836EE4"/>
    <w:rsid w:val="00837850"/>
    <w:rsid w:val="00840D16"/>
    <w:rsid w:val="00840E3E"/>
    <w:rsid w:val="0084168D"/>
    <w:rsid w:val="0084306F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387"/>
    <w:rsid w:val="00862B1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198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47E"/>
    <w:rsid w:val="008E5936"/>
    <w:rsid w:val="008E600F"/>
    <w:rsid w:val="008E631E"/>
    <w:rsid w:val="008E6FC7"/>
    <w:rsid w:val="008F0561"/>
    <w:rsid w:val="008F07C1"/>
    <w:rsid w:val="008F0BE7"/>
    <w:rsid w:val="008F2458"/>
    <w:rsid w:val="008F28FB"/>
    <w:rsid w:val="008F2E7B"/>
    <w:rsid w:val="008F3732"/>
    <w:rsid w:val="008F7567"/>
    <w:rsid w:val="008F7C7E"/>
    <w:rsid w:val="0090173A"/>
    <w:rsid w:val="00903C9E"/>
    <w:rsid w:val="009054D2"/>
    <w:rsid w:val="00910A9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579"/>
    <w:rsid w:val="00975681"/>
    <w:rsid w:val="0097572E"/>
    <w:rsid w:val="00977CF2"/>
    <w:rsid w:val="00981137"/>
    <w:rsid w:val="00981665"/>
    <w:rsid w:val="009855AC"/>
    <w:rsid w:val="0098711E"/>
    <w:rsid w:val="00990304"/>
    <w:rsid w:val="009903D2"/>
    <w:rsid w:val="00993052"/>
    <w:rsid w:val="00993096"/>
    <w:rsid w:val="009936E6"/>
    <w:rsid w:val="00994592"/>
    <w:rsid w:val="00994F1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33CC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26BB"/>
    <w:rsid w:val="00A03115"/>
    <w:rsid w:val="00A05F3D"/>
    <w:rsid w:val="00A0750B"/>
    <w:rsid w:val="00A118C7"/>
    <w:rsid w:val="00A12967"/>
    <w:rsid w:val="00A14650"/>
    <w:rsid w:val="00A15A17"/>
    <w:rsid w:val="00A15DA9"/>
    <w:rsid w:val="00A162EB"/>
    <w:rsid w:val="00A17A5A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26E2F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735"/>
    <w:rsid w:val="00A764F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645B"/>
    <w:rsid w:val="00AC7BE9"/>
    <w:rsid w:val="00AD014C"/>
    <w:rsid w:val="00AD1188"/>
    <w:rsid w:val="00AD3FCF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0EA"/>
    <w:rsid w:val="00AF09FD"/>
    <w:rsid w:val="00AF35A5"/>
    <w:rsid w:val="00AF3EEC"/>
    <w:rsid w:val="00AF7207"/>
    <w:rsid w:val="00AF74E3"/>
    <w:rsid w:val="00AF76FB"/>
    <w:rsid w:val="00B0136A"/>
    <w:rsid w:val="00B04980"/>
    <w:rsid w:val="00B04AAF"/>
    <w:rsid w:val="00B0698C"/>
    <w:rsid w:val="00B109E8"/>
    <w:rsid w:val="00B11A0D"/>
    <w:rsid w:val="00B135EF"/>
    <w:rsid w:val="00B153A4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388F"/>
    <w:rsid w:val="00B44217"/>
    <w:rsid w:val="00B45E7D"/>
    <w:rsid w:val="00B46EA0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7E0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F0A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5FB7"/>
    <w:rsid w:val="00BB6CFB"/>
    <w:rsid w:val="00BB6E98"/>
    <w:rsid w:val="00BB7157"/>
    <w:rsid w:val="00BC0317"/>
    <w:rsid w:val="00BC1B4B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15FB"/>
    <w:rsid w:val="00BE5EDD"/>
    <w:rsid w:val="00BE66FE"/>
    <w:rsid w:val="00BE7C85"/>
    <w:rsid w:val="00BF3D6A"/>
    <w:rsid w:val="00BF46BA"/>
    <w:rsid w:val="00BF5448"/>
    <w:rsid w:val="00BF5C95"/>
    <w:rsid w:val="00BF6912"/>
    <w:rsid w:val="00BF7128"/>
    <w:rsid w:val="00BF763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6F18"/>
    <w:rsid w:val="00C07007"/>
    <w:rsid w:val="00C074AF"/>
    <w:rsid w:val="00C10835"/>
    <w:rsid w:val="00C10ECA"/>
    <w:rsid w:val="00C11304"/>
    <w:rsid w:val="00C11C56"/>
    <w:rsid w:val="00C11EC3"/>
    <w:rsid w:val="00C1257B"/>
    <w:rsid w:val="00C1351D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5DD5"/>
    <w:rsid w:val="00C564E9"/>
    <w:rsid w:val="00C56AC4"/>
    <w:rsid w:val="00C57B0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2F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0E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00FD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A2A"/>
    <w:rsid w:val="00D90255"/>
    <w:rsid w:val="00D90948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7B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3709"/>
    <w:rsid w:val="00DB46CB"/>
    <w:rsid w:val="00DC0C3F"/>
    <w:rsid w:val="00DC0D5D"/>
    <w:rsid w:val="00DC26A4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4489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556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26E"/>
    <w:rsid w:val="00E11E4B"/>
    <w:rsid w:val="00E12405"/>
    <w:rsid w:val="00E145B7"/>
    <w:rsid w:val="00E1736D"/>
    <w:rsid w:val="00E215F4"/>
    <w:rsid w:val="00E21B2B"/>
    <w:rsid w:val="00E22479"/>
    <w:rsid w:val="00E22621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4F82"/>
    <w:rsid w:val="00ED5291"/>
    <w:rsid w:val="00ED5C71"/>
    <w:rsid w:val="00EE0062"/>
    <w:rsid w:val="00EE0388"/>
    <w:rsid w:val="00EE0AF0"/>
    <w:rsid w:val="00EE29FC"/>
    <w:rsid w:val="00EE35C4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002E"/>
    <w:rsid w:val="00F00200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409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3799A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EBD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2CE3-6516-48CD-BEAC-D00416A4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19</cp:revision>
  <cp:lastPrinted>2023-09-21T11:58:00Z</cp:lastPrinted>
  <dcterms:created xsi:type="dcterms:W3CDTF">2023-12-21T13:06:00Z</dcterms:created>
  <dcterms:modified xsi:type="dcterms:W3CDTF">2023-12-22T08:24:00Z</dcterms:modified>
</cp:coreProperties>
</file>