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D64A6" w14:textId="77777777" w:rsidR="005C7756" w:rsidRDefault="005C7756" w:rsidP="000D34F0">
      <w:pPr>
        <w:jc w:val="both"/>
        <w:rPr>
          <w:sz w:val="28"/>
          <w:szCs w:val="28"/>
        </w:rPr>
      </w:pPr>
    </w:p>
    <w:p w14:paraId="1A2B2825" w14:textId="77777777" w:rsidR="005C7756" w:rsidRDefault="005C7756" w:rsidP="000D34F0">
      <w:pPr>
        <w:jc w:val="both"/>
        <w:rPr>
          <w:sz w:val="28"/>
          <w:szCs w:val="28"/>
        </w:rPr>
      </w:pPr>
      <w:bookmarkStart w:id="0" w:name="_GoBack"/>
      <w:bookmarkEnd w:id="0"/>
    </w:p>
    <w:p w14:paraId="3F968EC2" w14:textId="351742E3" w:rsidR="005C7756" w:rsidRPr="005C7756" w:rsidRDefault="005C7756" w:rsidP="005C7756">
      <w:pPr>
        <w:jc w:val="center"/>
        <w:rPr>
          <w:b/>
          <w:sz w:val="28"/>
          <w:szCs w:val="28"/>
        </w:rPr>
      </w:pPr>
      <w:r w:rsidRPr="005C7756">
        <w:rPr>
          <w:b/>
          <w:sz w:val="28"/>
          <w:szCs w:val="28"/>
        </w:rPr>
        <w:t>Отчёт</w:t>
      </w:r>
    </w:p>
    <w:p w14:paraId="1F935AA5" w14:textId="586DCE30" w:rsidR="000D34F0" w:rsidRPr="005C7756" w:rsidRDefault="005C7756" w:rsidP="005C7756">
      <w:pPr>
        <w:jc w:val="center"/>
        <w:rPr>
          <w:b/>
          <w:sz w:val="28"/>
          <w:szCs w:val="28"/>
        </w:rPr>
      </w:pPr>
      <w:r w:rsidRPr="005C7756">
        <w:rPr>
          <w:b/>
          <w:sz w:val="28"/>
          <w:szCs w:val="28"/>
        </w:rPr>
        <w:t>отдел</w:t>
      </w:r>
      <w:r w:rsidRPr="005C7756">
        <w:rPr>
          <w:b/>
          <w:sz w:val="28"/>
          <w:szCs w:val="28"/>
        </w:rPr>
        <w:t>а</w:t>
      </w:r>
      <w:r w:rsidRPr="005C7756">
        <w:rPr>
          <w:b/>
          <w:sz w:val="28"/>
          <w:szCs w:val="28"/>
        </w:rPr>
        <w:t xml:space="preserve"> по регулированию контрактной системы в сфере закупок</w:t>
      </w:r>
    </w:p>
    <w:p w14:paraId="078BEB78" w14:textId="0F206E96" w:rsidR="005C7756" w:rsidRPr="005C7756" w:rsidRDefault="005C7756" w:rsidP="005C7756">
      <w:pPr>
        <w:jc w:val="center"/>
        <w:rPr>
          <w:b/>
          <w:sz w:val="28"/>
          <w:szCs w:val="28"/>
        </w:rPr>
      </w:pPr>
      <w:r w:rsidRPr="005C7756">
        <w:rPr>
          <w:b/>
          <w:sz w:val="28"/>
          <w:szCs w:val="28"/>
        </w:rPr>
        <w:t xml:space="preserve"> результатах деятельности за 2020 г. </w:t>
      </w:r>
    </w:p>
    <w:p w14:paraId="05C26EC7" w14:textId="77777777" w:rsidR="005C7756" w:rsidRDefault="005C7756" w:rsidP="005C7756">
      <w:pPr>
        <w:jc w:val="center"/>
        <w:rPr>
          <w:sz w:val="28"/>
          <w:szCs w:val="28"/>
        </w:rPr>
      </w:pPr>
    </w:p>
    <w:p w14:paraId="73092AA7" w14:textId="62FA3B39" w:rsidR="000D34F0" w:rsidRDefault="000D34F0" w:rsidP="008D6900">
      <w:pPr>
        <w:ind w:firstLine="708"/>
        <w:jc w:val="both"/>
        <w:rPr>
          <w:sz w:val="28"/>
          <w:szCs w:val="28"/>
        </w:rPr>
      </w:pPr>
      <w:r w:rsidRPr="00E43B71">
        <w:rPr>
          <w:sz w:val="28"/>
          <w:szCs w:val="28"/>
        </w:rPr>
        <w:t xml:space="preserve">С 1 января </w:t>
      </w:r>
      <w:smartTag w:uri="urn:schemas-microsoft-com:office:smarttags" w:element="metricconverter">
        <w:smartTagPr>
          <w:attr w:name="ProductID" w:val="2014 г"/>
        </w:smartTagPr>
        <w:r w:rsidRPr="00E43B71">
          <w:rPr>
            <w:sz w:val="28"/>
            <w:szCs w:val="28"/>
          </w:rPr>
          <w:t>2014 г</w:t>
        </w:r>
      </w:smartTag>
      <w:r w:rsidRPr="00E43B71">
        <w:rPr>
          <w:sz w:val="28"/>
          <w:szCs w:val="28"/>
        </w:rPr>
        <w:t xml:space="preserve">. закупки товаров, работ, услуг для обеспечения государственных и муниципальных нужд осуществляются в соответствии с </w:t>
      </w:r>
      <w:r w:rsidR="00D62FC5">
        <w:rPr>
          <w:sz w:val="28"/>
          <w:szCs w:val="28"/>
        </w:rPr>
        <w:t>Ф</w:t>
      </w:r>
      <w:r w:rsidRPr="00E43B71">
        <w:rPr>
          <w:sz w:val="28"/>
          <w:szCs w:val="28"/>
        </w:rPr>
        <w:t xml:space="preserve">едеральным законом  </w:t>
      </w:r>
      <w:r w:rsidR="00D62FC5">
        <w:rPr>
          <w:sz w:val="28"/>
          <w:szCs w:val="28"/>
        </w:rPr>
        <w:t xml:space="preserve">от 05.04.2013 №44-ФЗ </w:t>
      </w:r>
      <w:r w:rsidRPr="00E43B71">
        <w:rPr>
          <w:sz w:val="28"/>
          <w:szCs w:val="28"/>
        </w:rPr>
        <w:t xml:space="preserve">«О контрактной системе в сфере закупок товаров, работ, услуг для обеспечения государственных и муниципальных нужд», целью которого является повышение эффективности и результативности обеспечения государственных и муниципальных нужд, обеспечение гласности и прозрачности сферы закупок, предотвращение коррупционных и других злоупотреблений. Внедрение Закона о контрактной системе привело к резкому увеличению доли торговых процедур, существенно изменилась и практика закупок бюджетных </w:t>
      </w:r>
      <w:r>
        <w:rPr>
          <w:sz w:val="28"/>
          <w:szCs w:val="28"/>
        </w:rPr>
        <w:t>учреждений.</w:t>
      </w:r>
    </w:p>
    <w:p w14:paraId="41B64A25" w14:textId="23BFA725" w:rsidR="000D34F0" w:rsidRDefault="000D34F0" w:rsidP="00494576">
      <w:pPr>
        <w:jc w:val="both"/>
        <w:rPr>
          <w:sz w:val="28"/>
          <w:szCs w:val="28"/>
        </w:rPr>
      </w:pPr>
      <w:r>
        <w:rPr>
          <w:sz w:val="28"/>
          <w:szCs w:val="28"/>
        </w:rPr>
        <w:t xml:space="preserve">     </w:t>
      </w:r>
      <w:r w:rsidR="008D6900">
        <w:rPr>
          <w:sz w:val="28"/>
          <w:szCs w:val="28"/>
        </w:rPr>
        <w:t xml:space="preserve">   </w:t>
      </w:r>
      <w:r w:rsidR="000B4BD1">
        <w:rPr>
          <w:sz w:val="28"/>
          <w:szCs w:val="28"/>
        </w:rPr>
        <w:t xml:space="preserve">В 2014 году в структуре </w:t>
      </w:r>
      <w:r w:rsidR="00D62FC5">
        <w:rPr>
          <w:sz w:val="28"/>
          <w:szCs w:val="28"/>
        </w:rPr>
        <w:t>А</w:t>
      </w:r>
      <w:r>
        <w:rPr>
          <w:sz w:val="28"/>
          <w:szCs w:val="28"/>
        </w:rPr>
        <w:t xml:space="preserve">дминистрации </w:t>
      </w:r>
      <w:r w:rsidR="00D62FC5">
        <w:rPr>
          <w:sz w:val="28"/>
          <w:szCs w:val="28"/>
        </w:rPr>
        <w:t>муниципального образования «</w:t>
      </w:r>
      <w:r w:rsidR="000B4BD1">
        <w:rPr>
          <w:sz w:val="28"/>
          <w:szCs w:val="28"/>
        </w:rPr>
        <w:t>В</w:t>
      </w:r>
      <w:r w:rsidR="00D62FC5">
        <w:rPr>
          <w:sz w:val="28"/>
          <w:szCs w:val="28"/>
        </w:rPr>
        <w:t>яземский район» Смоленской области</w:t>
      </w:r>
      <w:r w:rsidR="000B4BD1">
        <w:rPr>
          <w:sz w:val="28"/>
          <w:szCs w:val="28"/>
        </w:rPr>
        <w:t xml:space="preserve"> (далее- Администрация)</w:t>
      </w:r>
      <w:r w:rsidR="00D62FC5">
        <w:rPr>
          <w:sz w:val="28"/>
          <w:szCs w:val="28"/>
        </w:rPr>
        <w:t xml:space="preserve"> </w:t>
      </w:r>
      <w:r>
        <w:rPr>
          <w:sz w:val="28"/>
          <w:szCs w:val="28"/>
        </w:rPr>
        <w:t xml:space="preserve">создан </w:t>
      </w:r>
      <w:r w:rsidR="00D62FC5">
        <w:rPr>
          <w:sz w:val="28"/>
          <w:szCs w:val="28"/>
        </w:rPr>
        <w:t>отдел по регулированию контрактной системы в сфере закупок</w:t>
      </w:r>
      <w:r>
        <w:rPr>
          <w:sz w:val="28"/>
          <w:szCs w:val="28"/>
        </w:rPr>
        <w:t xml:space="preserve">, </w:t>
      </w:r>
      <w:r w:rsidR="000B4BD1" w:rsidRPr="009E7347">
        <w:rPr>
          <w:color w:val="000000"/>
          <w:sz w:val="28"/>
          <w:szCs w:val="28"/>
          <w:lang w:bidi="ru-RU"/>
        </w:rPr>
        <w:t>совмещающ</w:t>
      </w:r>
      <w:r w:rsidR="000B4BD1">
        <w:rPr>
          <w:color w:val="000000"/>
          <w:sz w:val="28"/>
          <w:szCs w:val="28"/>
          <w:lang w:bidi="ru-RU"/>
        </w:rPr>
        <w:t>ий</w:t>
      </w:r>
      <w:r w:rsidR="000B4BD1" w:rsidRPr="009E7347">
        <w:rPr>
          <w:color w:val="000000"/>
          <w:sz w:val="28"/>
          <w:szCs w:val="28"/>
          <w:lang w:bidi="ru-RU"/>
        </w:rPr>
        <w:t xml:space="preserve"> в себе одновременно функции уполномоченного органа на определение поставщиков (подрядчиков, исполнителей) для заказчиков Вяземского района и функции контрактной службы Администрации</w:t>
      </w:r>
      <w:r w:rsidR="000B4BD1">
        <w:rPr>
          <w:color w:val="000000"/>
          <w:sz w:val="28"/>
          <w:szCs w:val="28"/>
          <w:lang w:bidi="ru-RU"/>
        </w:rPr>
        <w:t>.</w:t>
      </w:r>
    </w:p>
    <w:p w14:paraId="78AC3381" w14:textId="0F06C711" w:rsidR="0076736F" w:rsidRPr="00253B64" w:rsidRDefault="00EE2D18" w:rsidP="00494576">
      <w:pPr>
        <w:jc w:val="both"/>
        <w:rPr>
          <w:sz w:val="28"/>
          <w:szCs w:val="28"/>
        </w:rPr>
      </w:pPr>
      <w:r w:rsidRPr="00EE2D18">
        <w:rPr>
          <w:sz w:val="28"/>
          <w:szCs w:val="28"/>
        </w:rPr>
        <w:t xml:space="preserve">        </w:t>
      </w:r>
      <w:r w:rsidRPr="00253B64">
        <w:rPr>
          <w:sz w:val="28"/>
          <w:szCs w:val="28"/>
        </w:rPr>
        <w:t xml:space="preserve">К функциям и полномочиям специалистов, занимающихся закупками по 44-ФЗ, относится обслуживание всего цикла закупок – от планирования до </w:t>
      </w:r>
      <w:r w:rsidR="00253B64">
        <w:rPr>
          <w:sz w:val="28"/>
          <w:szCs w:val="28"/>
        </w:rPr>
        <w:t>отражения информации в реестре контрактов</w:t>
      </w:r>
      <w:r w:rsidRPr="00253B64">
        <w:rPr>
          <w:sz w:val="28"/>
          <w:szCs w:val="28"/>
        </w:rPr>
        <w:t xml:space="preserve"> по выполненным контрактам, а также участие в судебных спорах по жалобам, которые появляются в процессе закупок и ведение претензионной работы.</w:t>
      </w:r>
    </w:p>
    <w:p w14:paraId="1079ABDF" w14:textId="4705A090" w:rsidR="00356C25" w:rsidRPr="00356C25" w:rsidRDefault="00356C25" w:rsidP="00494576">
      <w:pPr>
        <w:ind w:firstLine="708"/>
        <w:jc w:val="both"/>
        <w:rPr>
          <w:sz w:val="28"/>
          <w:szCs w:val="28"/>
        </w:rPr>
      </w:pPr>
      <w:r w:rsidRPr="00494576">
        <w:rPr>
          <w:sz w:val="28"/>
          <w:szCs w:val="28"/>
        </w:rPr>
        <w:t xml:space="preserve">Поскольку </w:t>
      </w:r>
      <w:r w:rsidR="00494576" w:rsidRPr="00494576">
        <w:rPr>
          <w:sz w:val="28"/>
          <w:szCs w:val="28"/>
        </w:rPr>
        <w:t>в 2020 году р</w:t>
      </w:r>
      <w:r w:rsidRPr="00356C25">
        <w:rPr>
          <w:sz w:val="28"/>
          <w:szCs w:val="28"/>
        </w:rPr>
        <w:t>аспространение коронавирусной инфекции внесло свои коррективы в работу и заказчиков, и поставщиков при осуществлении закупочной деятельности товаров, работ и услуг</w:t>
      </w:r>
      <w:r w:rsidR="00494576" w:rsidRPr="00494576">
        <w:rPr>
          <w:sz w:val="28"/>
          <w:szCs w:val="28"/>
        </w:rPr>
        <w:t xml:space="preserve">, Администрации, как и остальным заказчикам пришлось оперативно реагировать на все изменения эпидемиологической действительности. </w:t>
      </w:r>
      <w:r w:rsidRPr="00356C25">
        <w:rPr>
          <w:sz w:val="28"/>
          <w:szCs w:val="28"/>
        </w:rPr>
        <w:t xml:space="preserve">В </w:t>
      </w:r>
      <w:r w:rsidR="00494576" w:rsidRPr="00494576">
        <w:rPr>
          <w:sz w:val="28"/>
          <w:szCs w:val="28"/>
        </w:rPr>
        <w:t xml:space="preserve">этот </w:t>
      </w:r>
      <w:r w:rsidRPr="00356C25">
        <w:rPr>
          <w:sz w:val="28"/>
          <w:szCs w:val="28"/>
        </w:rPr>
        <w:t xml:space="preserve">период было принято множество нормативно-правовых актов, касающихся закупок как по 44-ФЗ, так и по 223-ФЗ. </w:t>
      </w:r>
    </w:p>
    <w:p w14:paraId="2FE2AE60" w14:textId="4C4602D9" w:rsidR="000D34F0" w:rsidRDefault="000D34F0" w:rsidP="002C375A">
      <w:pPr>
        <w:ind w:firstLine="708"/>
        <w:jc w:val="both"/>
        <w:rPr>
          <w:sz w:val="28"/>
          <w:szCs w:val="28"/>
        </w:rPr>
      </w:pPr>
      <w:r w:rsidRPr="00F37141">
        <w:rPr>
          <w:sz w:val="28"/>
          <w:szCs w:val="28"/>
        </w:rPr>
        <w:t>В целях оказания методической помощи администрациям сельских поселений района</w:t>
      </w:r>
      <w:r>
        <w:rPr>
          <w:sz w:val="28"/>
          <w:szCs w:val="28"/>
        </w:rPr>
        <w:t xml:space="preserve"> и подведомственным учреждениям</w:t>
      </w:r>
      <w:r w:rsidRPr="00F37141">
        <w:rPr>
          <w:sz w:val="28"/>
          <w:szCs w:val="28"/>
        </w:rPr>
        <w:t xml:space="preserve"> специалист</w:t>
      </w:r>
      <w:r w:rsidR="00E76FF0">
        <w:rPr>
          <w:sz w:val="28"/>
          <w:szCs w:val="28"/>
        </w:rPr>
        <w:t>ами</w:t>
      </w:r>
      <w:r w:rsidRPr="00F37141">
        <w:rPr>
          <w:sz w:val="28"/>
          <w:szCs w:val="28"/>
        </w:rPr>
        <w:t xml:space="preserve"> </w:t>
      </w:r>
      <w:r w:rsidR="00665BE1">
        <w:rPr>
          <w:sz w:val="28"/>
          <w:szCs w:val="28"/>
        </w:rPr>
        <w:t xml:space="preserve">Отдела </w:t>
      </w:r>
      <w:r w:rsidRPr="00F37141">
        <w:rPr>
          <w:sz w:val="28"/>
          <w:szCs w:val="28"/>
        </w:rPr>
        <w:t>направля</w:t>
      </w:r>
      <w:r w:rsidR="00E76FF0">
        <w:rPr>
          <w:sz w:val="28"/>
          <w:szCs w:val="28"/>
        </w:rPr>
        <w:t>лись</w:t>
      </w:r>
      <w:r w:rsidRPr="00F37141">
        <w:rPr>
          <w:sz w:val="28"/>
          <w:szCs w:val="28"/>
        </w:rPr>
        <w:t xml:space="preserve"> информационные письма</w:t>
      </w:r>
      <w:r>
        <w:rPr>
          <w:sz w:val="28"/>
          <w:szCs w:val="28"/>
        </w:rPr>
        <w:t xml:space="preserve"> и материалы</w:t>
      </w:r>
      <w:r w:rsidRPr="00F37141">
        <w:rPr>
          <w:sz w:val="28"/>
          <w:szCs w:val="28"/>
        </w:rPr>
        <w:t xml:space="preserve"> об изменениях и нововведениях законодательства в сфере контрактной системы.</w:t>
      </w:r>
    </w:p>
    <w:p w14:paraId="55640E3A" w14:textId="3528C84F" w:rsidR="00292696" w:rsidRDefault="0069533F" w:rsidP="000D34F0">
      <w:pPr>
        <w:jc w:val="both"/>
        <w:rPr>
          <w:sz w:val="28"/>
          <w:szCs w:val="28"/>
        </w:rPr>
      </w:pPr>
      <w:r>
        <w:rPr>
          <w:sz w:val="28"/>
          <w:szCs w:val="28"/>
        </w:rPr>
        <w:t xml:space="preserve">     </w:t>
      </w:r>
      <w:r w:rsidR="00BE1082">
        <w:rPr>
          <w:sz w:val="28"/>
          <w:szCs w:val="28"/>
        </w:rPr>
        <w:t xml:space="preserve">    </w:t>
      </w:r>
      <w:r w:rsidR="00394B90">
        <w:rPr>
          <w:sz w:val="28"/>
          <w:szCs w:val="28"/>
        </w:rPr>
        <w:t>В течение года</w:t>
      </w:r>
      <w:r w:rsidR="00BE1082">
        <w:rPr>
          <w:sz w:val="28"/>
          <w:szCs w:val="28"/>
        </w:rPr>
        <w:t xml:space="preserve"> </w:t>
      </w:r>
      <w:r w:rsidR="00394B90">
        <w:rPr>
          <w:sz w:val="28"/>
          <w:szCs w:val="28"/>
        </w:rPr>
        <w:t>с</w:t>
      </w:r>
      <w:r>
        <w:rPr>
          <w:sz w:val="28"/>
          <w:szCs w:val="28"/>
        </w:rPr>
        <w:t xml:space="preserve">пециалистами </w:t>
      </w:r>
      <w:r w:rsidR="00394B90">
        <w:rPr>
          <w:sz w:val="28"/>
          <w:szCs w:val="28"/>
        </w:rPr>
        <w:t>отдела</w:t>
      </w:r>
      <w:r>
        <w:rPr>
          <w:sz w:val="28"/>
          <w:szCs w:val="28"/>
        </w:rPr>
        <w:t xml:space="preserve"> прин</w:t>
      </w:r>
      <w:r w:rsidR="00394B90">
        <w:rPr>
          <w:sz w:val="28"/>
          <w:szCs w:val="28"/>
        </w:rPr>
        <w:t>ималось участие</w:t>
      </w:r>
      <w:r>
        <w:rPr>
          <w:sz w:val="28"/>
          <w:szCs w:val="28"/>
        </w:rPr>
        <w:t xml:space="preserve"> в </w:t>
      </w:r>
      <w:r w:rsidR="00394B90">
        <w:rPr>
          <w:sz w:val="28"/>
          <w:szCs w:val="28"/>
        </w:rPr>
        <w:t xml:space="preserve">публичных слушаниях, </w:t>
      </w:r>
      <w:r>
        <w:rPr>
          <w:sz w:val="28"/>
          <w:szCs w:val="28"/>
        </w:rPr>
        <w:t xml:space="preserve">видеоконференциях, проводимых </w:t>
      </w:r>
      <w:r w:rsidR="00394B90">
        <w:rPr>
          <w:sz w:val="28"/>
          <w:szCs w:val="28"/>
        </w:rPr>
        <w:t>Управлением Федеральной антимонопольной службы по Смоленской области, Главным управлением Смоленской области по регулированию контрактной системы, Единой электронной торговой площадкой «Росэлторг».</w:t>
      </w:r>
    </w:p>
    <w:p w14:paraId="5CCC577C" w14:textId="5D4B6380" w:rsidR="00D16321" w:rsidRDefault="00FE1EAE" w:rsidP="00FE1EAE">
      <w:pPr>
        <w:tabs>
          <w:tab w:val="left" w:pos="993"/>
        </w:tabs>
        <w:jc w:val="both"/>
        <w:rPr>
          <w:sz w:val="28"/>
          <w:szCs w:val="28"/>
          <w:lang w:eastAsia="en-US"/>
        </w:rPr>
      </w:pPr>
      <w:r>
        <w:rPr>
          <w:sz w:val="28"/>
          <w:szCs w:val="28"/>
          <w:lang w:eastAsia="en-US"/>
        </w:rPr>
        <w:tab/>
      </w:r>
      <w:r w:rsidR="00D16321" w:rsidRPr="00DA559B">
        <w:rPr>
          <w:sz w:val="28"/>
          <w:szCs w:val="28"/>
          <w:lang w:eastAsia="en-US"/>
        </w:rPr>
        <w:t xml:space="preserve">Данные мероприятия показывают свою эффективность: повышается уровень знаний и практические навыки в сфере закупок как заказчиков так участников закупок, что способствует увеличению конкуренции и эффективному осуществлению конкурентных процедур закупок. </w:t>
      </w:r>
    </w:p>
    <w:p w14:paraId="020B58BB" w14:textId="77777777" w:rsidR="002C375A" w:rsidRDefault="002C375A" w:rsidP="002C375A">
      <w:pPr>
        <w:ind w:firstLine="708"/>
        <w:jc w:val="both"/>
        <w:rPr>
          <w:sz w:val="28"/>
          <w:szCs w:val="28"/>
        </w:rPr>
      </w:pPr>
      <w:r>
        <w:rPr>
          <w:sz w:val="28"/>
          <w:szCs w:val="28"/>
        </w:rPr>
        <w:t xml:space="preserve">После приемки результатов работ и оплаты за выполненные работы на официальном сайте вносится информация в реестр муниципальных контрактов и размещается отчет об исполнении муниципального контракта по </w:t>
      </w:r>
      <w:r>
        <w:rPr>
          <w:sz w:val="28"/>
          <w:szCs w:val="28"/>
        </w:rPr>
        <w:lastRenderedPageBreak/>
        <w:t>каждой проведенной закупке (в том числе и при заключении контрактов с единственным поставщиком (связь, тепловая энергия, электроэнергия, водоснабжение, водоотведение).</w:t>
      </w:r>
    </w:p>
    <w:p w14:paraId="462826A1" w14:textId="7113C773" w:rsidR="009338E0" w:rsidRDefault="009338E0" w:rsidP="000D34F0">
      <w:pPr>
        <w:jc w:val="both"/>
        <w:rPr>
          <w:sz w:val="28"/>
          <w:szCs w:val="28"/>
        </w:rPr>
      </w:pPr>
    </w:p>
    <w:p w14:paraId="0A5FF75C" w14:textId="07B2D81A" w:rsidR="00AC64DE" w:rsidRDefault="00AC64DE" w:rsidP="0075001E">
      <w:pPr>
        <w:jc w:val="center"/>
        <w:rPr>
          <w:b/>
          <w:sz w:val="28"/>
          <w:szCs w:val="28"/>
        </w:rPr>
      </w:pPr>
      <w:r w:rsidRPr="005962A2">
        <w:rPr>
          <w:b/>
          <w:sz w:val="28"/>
          <w:szCs w:val="28"/>
        </w:rPr>
        <w:t>Состоявшиеся торги</w:t>
      </w:r>
    </w:p>
    <w:p w14:paraId="731917BD" w14:textId="77777777" w:rsidR="005A5D11" w:rsidRDefault="005A5D11" w:rsidP="0075001E">
      <w:pPr>
        <w:jc w:val="center"/>
        <w:rPr>
          <w:b/>
          <w:sz w:val="28"/>
          <w:szCs w:val="28"/>
        </w:rPr>
      </w:pPr>
    </w:p>
    <w:p w14:paraId="3390E09E" w14:textId="131D7BE4" w:rsidR="005962A2" w:rsidRPr="009E7347" w:rsidRDefault="00AC64DE" w:rsidP="005962A2">
      <w:pPr>
        <w:ind w:firstLine="708"/>
        <w:jc w:val="both"/>
        <w:rPr>
          <w:color w:val="000000"/>
          <w:sz w:val="28"/>
          <w:szCs w:val="28"/>
          <w:lang w:bidi="ru-RU"/>
        </w:rPr>
      </w:pPr>
      <w:r>
        <w:rPr>
          <w:sz w:val="28"/>
          <w:szCs w:val="28"/>
        </w:rPr>
        <w:t xml:space="preserve">     </w:t>
      </w:r>
      <w:r w:rsidR="00FF3CEF">
        <w:rPr>
          <w:sz w:val="28"/>
          <w:szCs w:val="28"/>
        </w:rPr>
        <w:t>В 20</w:t>
      </w:r>
      <w:r w:rsidR="002C375A">
        <w:rPr>
          <w:sz w:val="28"/>
          <w:szCs w:val="28"/>
        </w:rPr>
        <w:t>20</w:t>
      </w:r>
      <w:r w:rsidR="00FF3CEF">
        <w:rPr>
          <w:sz w:val="28"/>
          <w:szCs w:val="28"/>
        </w:rPr>
        <w:t xml:space="preserve"> году </w:t>
      </w:r>
      <w:r w:rsidR="002C375A">
        <w:rPr>
          <w:sz w:val="28"/>
          <w:szCs w:val="28"/>
        </w:rPr>
        <w:t xml:space="preserve">Отделом </w:t>
      </w:r>
      <w:r w:rsidR="00FF3CEF">
        <w:rPr>
          <w:sz w:val="28"/>
          <w:szCs w:val="28"/>
        </w:rPr>
        <w:t xml:space="preserve">проведено </w:t>
      </w:r>
      <w:r w:rsidR="002C375A">
        <w:rPr>
          <w:sz w:val="28"/>
          <w:szCs w:val="28"/>
        </w:rPr>
        <w:t>346</w:t>
      </w:r>
      <w:r w:rsidR="00FF3CEF">
        <w:rPr>
          <w:sz w:val="28"/>
          <w:szCs w:val="28"/>
        </w:rPr>
        <w:t xml:space="preserve"> процедур закупок</w:t>
      </w:r>
      <w:r w:rsidR="003B3E8B">
        <w:rPr>
          <w:sz w:val="28"/>
          <w:szCs w:val="28"/>
        </w:rPr>
        <w:t xml:space="preserve">, </w:t>
      </w:r>
      <w:r w:rsidR="005962A2" w:rsidRPr="009E7347">
        <w:rPr>
          <w:color w:val="000000"/>
          <w:sz w:val="28"/>
          <w:szCs w:val="28"/>
          <w:lang w:bidi="ru-RU"/>
        </w:rPr>
        <w:t xml:space="preserve">на общую сумму </w:t>
      </w:r>
      <w:r w:rsidR="005962A2">
        <w:rPr>
          <w:b/>
          <w:color w:val="000000"/>
          <w:sz w:val="28"/>
          <w:szCs w:val="28"/>
          <w:lang w:bidi="ru-RU"/>
        </w:rPr>
        <w:t>748996194,75</w:t>
      </w:r>
      <w:r w:rsidR="005962A2" w:rsidRPr="009E7347">
        <w:rPr>
          <w:b/>
          <w:color w:val="000000"/>
          <w:sz w:val="28"/>
          <w:szCs w:val="28"/>
          <w:lang w:bidi="ru-RU"/>
        </w:rPr>
        <w:t xml:space="preserve"> руб.,</w:t>
      </w:r>
      <w:r w:rsidR="005962A2" w:rsidRPr="009E7347">
        <w:rPr>
          <w:color w:val="000000"/>
          <w:sz w:val="28"/>
          <w:szCs w:val="28"/>
          <w:lang w:bidi="ru-RU"/>
        </w:rPr>
        <w:t xml:space="preserve"> в том числе:</w:t>
      </w:r>
    </w:p>
    <w:p w14:paraId="5805E31E" w14:textId="4779C894" w:rsidR="005962A2" w:rsidRPr="009E7347" w:rsidRDefault="005962A2" w:rsidP="005962A2">
      <w:pPr>
        <w:jc w:val="both"/>
        <w:rPr>
          <w:sz w:val="28"/>
          <w:szCs w:val="28"/>
        </w:rPr>
      </w:pPr>
      <w:r w:rsidRPr="009E7347">
        <w:rPr>
          <w:sz w:val="28"/>
          <w:szCs w:val="28"/>
        </w:rPr>
        <w:tab/>
        <w:t xml:space="preserve">– аукционов в электронной форме </w:t>
      </w:r>
      <w:r w:rsidR="00E96456">
        <w:rPr>
          <w:sz w:val="28"/>
          <w:szCs w:val="28"/>
        </w:rPr>
        <w:t>–</w:t>
      </w:r>
      <w:r w:rsidRPr="009E7347">
        <w:rPr>
          <w:sz w:val="28"/>
          <w:szCs w:val="28"/>
        </w:rPr>
        <w:t xml:space="preserve"> </w:t>
      </w:r>
      <w:r w:rsidRPr="009E7347">
        <w:rPr>
          <w:b/>
          <w:sz w:val="28"/>
          <w:szCs w:val="28"/>
        </w:rPr>
        <w:t>2</w:t>
      </w:r>
      <w:r w:rsidR="00E96456">
        <w:rPr>
          <w:b/>
          <w:sz w:val="28"/>
          <w:szCs w:val="28"/>
        </w:rPr>
        <w:t>86;</w:t>
      </w:r>
      <w:r w:rsidRPr="009E7347">
        <w:rPr>
          <w:b/>
          <w:sz w:val="28"/>
          <w:szCs w:val="28"/>
        </w:rPr>
        <w:t xml:space="preserve"> </w:t>
      </w:r>
    </w:p>
    <w:p w14:paraId="34F42F46" w14:textId="77777777" w:rsidR="00FE1EAE" w:rsidRDefault="005962A2" w:rsidP="00E96456">
      <w:pPr>
        <w:jc w:val="both"/>
        <w:rPr>
          <w:b/>
          <w:sz w:val="28"/>
          <w:szCs w:val="28"/>
        </w:rPr>
      </w:pPr>
      <w:r w:rsidRPr="009E7347">
        <w:rPr>
          <w:b/>
          <w:sz w:val="28"/>
          <w:szCs w:val="28"/>
        </w:rPr>
        <w:tab/>
        <w:t xml:space="preserve">– </w:t>
      </w:r>
      <w:r w:rsidRPr="009E7347">
        <w:rPr>
          <w:sz w:val="28"/>
          <w:szCs w:val="28"/>
        </w:rPr>
        <w:t xml:space="preserve">открытых конкурсов в электронной форме </w:t>
      </w:r>
      <w:r w:rsidR="00E96456">
        <w:rPr>
          <w:sz w:val="28"/>
          <w:szCs w:val="28"/>
        </w:rPr>
        <w:t>–</w:t>
      </w:r>
      <w:r w:rsidRPr="009E7347">
        <w:rPr>
          <w:sz w:val="28"/>
          <w:szCs w:val="28"/>
        </w:rPr>
        <w:t xml:space="preserve"> </w:t>
      </w:r>
      <w:r w:rsidR="00E96456" w:rsidRPr="00E96456">
        <w:rPr>
          <w:b/>
          <w:bCs/>
          <w:sz w:val="28"/>
          <w:szCs w:val="28"/>
        </w:rPr>
        <w:t>14</w:t>
      </w:r>
      <w:r w:rsidR="00E96456">
        <w:rPr>
          <w:b/>
          <w:sz w:val="28"/>
          <w:szCs w:val="28"/>
        </w:rPr>
        <w:t>;</w:t>
      </w:r>
    </w:p>
    <w:p w14:paraId="2A35EF91" w14:textId="51F68C9F" w:rsidR="00FE1EAE" w:rsidRDefault="00FE1EAE" w:rsidP="00FE1EAE">
      <w:pPr>
        <w:ind w:firstLine="708"/>
        <w:jc w:val="both"/>
        <w:rPr>
          <w:b/>
          <w:sz w:val="28"/>
          <w:szCs w:val="28"/>
        </w:rPr>
      </w:pPr>
      <w:r>
        <w:rPr>
          <w:b/>
          <w:sz w:val="28"/>
          <w:szCs w:val="28"/>
        </w:rPr>
        <w:t xml:space="preserve">- </w:t>
      </w:r>
      <w:r w:rsidR="00E96456">
        <w:rPr>
          <w:sz w:val="28"/>
          <w:szCs w:val="28"/>
        </w:rPr>
        <w:t xml:space="preserve"> </w:t>
      </w:r>
      <w:r w:rsidR="005962A2" w:rsidRPr="009E7347">
        <w:rPr>
          <w:sz w:val="28"/>
          <w:szCs w:val="28"/>
        </w:rPr>
        <w:t xml:space="preserve">запросов котировок в электронной форме – </w:t>
      </w:r>
      <w:r w:rsidR="00E96456">
        <w:rPr>
          <w:b/>
          <w:sz w:val="28"/>
          <w:szCs w:val="28"/>
        </w:rPr>
        <w:t>19</w:t>
      </w:r>
      <w:r>
        <w:rPr>
          <w:b/>
          <w:sz w:val="28"/>
          <w:szCs w:val="28"/>
        </w:rPr>
        <w:t>;</w:t>
      </w:r>
    </w:p>
    <w:p w14:paraId="74E6C7F1" w14:textId="5F525772" w:rsidR="005962A2" w:rsidRDefault="00FE1EAE" w:rsidP="00E96456">
      <w:pPr>
        <w:jc w:val="both"/>
        <w:rPr>
          <w:sz w:val="28"/>
          <w:szCs w:val="28"/>
        </w:rPr>
      </w:pPr>
      <w:r>
        <w:rPr>
          <w:b/>
          <w:sz w:val="28"/>
          <w:szCs w:val="28"/>
        </w:rPr>
        <w:t xml:space="preserve">           - </w:t>
      </w:r>
      <w:r w:rsidRPr="00FE1EAE">
        <w:rPr>
          <w:bCs/>
          <w:sz w:val="28"/>
          <w:szCs w:val="28"/>
        </w:rPr>
        <w:t>малые закупки</w:t>
      </w:r>
      <w:r>
        <w:rPr>
          <w:b/>
          <w:sz w:val="28"/>
          <w:szCs w:val="28"/>
        </w:rPr>
        <w:t xml:space="preserve"> – 27.</w:t>
      </w:r>
      <w:r w:rsidR="005962A2" w:rsidRPr="009E7347">
        <w:rPr>
          <w:sz w:val="28"/>
          <w:szCs w:val="28"/>
        </w:rPr>
        <w:t xml:space="preserve"> </w:t>
      </w:r>
    </w:p>
    <w:p w14:paraId="5768A1AE" w14:textId="2769EC83" w:rsidR="00111D5E" w:rsidRDefault="00111D5E" w:rsidP="00111D5E">
      <w:pPr>
        <w:pStyle w:val="20"/>
        <w:shd w:val="clear" w:color="auto" w:fill="auto"/>
        <w:spacing w:before="0" w:line="240" w:lineRule="auto"/>
        <w:ind w:right="200" w:firstLine="740"/>
        <w:rPr>
          <w:rFonts w:ascii="Times New Roman" w:hAnsi="Times New Roman"/>
          <w:sz w:val="28"/>
          <w:szCs w:val="28"/>
        </w:rPr>
      </w:pPr>
      <w:r w:rsidRPr="00D850A7">
        <w:rPr>
          <w:rFonts w:ascii="Times New Roman" w:hAnsi="Times New Roman"/>
          <w:sz w:val="28"/>
          <w:szCs w:val="28"/>
        </w:rPr>
        <w:t>Сравнительная характеристика структур муниципальных закупок по способу размещения за 2018-20</w:t>
      </w:r>
      <w:r>
        <w:rPr>
          <w:rFonts w:ascii="Times New Roman" w:hAnsi="Times New Roman"/>
          <w:sz w:val="28"/>
          <w:szCs w:val="28"/>
        </w:rPr>
        <w:t>20</w:t>
      </w:r>
      <w:r w:rsidRPr="00D850A7">
        <w:rPr>
          <w:rFonts w:ascii="Times New Roman" w:hAnsi="Times New Roman"/>
          <w:sz w:val="28"/>
          <w:szCs w:val="28"/>
        </w:rPr>
        <w:t xml:space="preserve"> гг. представлена в диаграмме 1.</w:t>
      </w:r>
    </w:p>
    <w:p w14:paraId="640F7B22" w14:textId="77777777" w:rsidR="00111D5E" w:rsidRPr="00D850A7" w:rsidRDefault="00111D5E" w:rsidP="00111D5E">
      <w:pPr>
        <w:pStyle w:val="20"/>
        <w:shd w:val="clear" w:color="auto" w:fill="auto"/>
        <w:spacing w:before="0" w:line="240" w:lineRule="auto"/>
        <w:ind w:right="200"/>
        <w:rPr>
          <w:rFonts w:ascii="Times New Roman" w:hAnsi="Times New Roman"/>
          <w:sz w:val="28"/>
          <w:szCs w:val="28"/>
        </w:rPr>
      </w:pPr>
    </w:p>
    <w:p w14:paraId="4C3FCC5B" w14:textId="7FF27794" w:rsidR="00111D5E" w:rsidRPr="009E7347" w:rsidRDefault="00111D5E" w:rsidP="00AD638D">
      <w:pPr>
        <w:pStyle w:val="20"/>
        <w:shd w:val="clear" w:color="auto" w:fill="auto"/>
        <w:spacing w:before="0" w:line="240" w:lineRule="auto"/>
        <w:ind w:right="200" w:firstLine="740"/>
        <w:jc w:val="right"/>
        <w:rPr>
          <w:rFonts w:ascii="Times New Roman" w:hAnsi="Times New Roman"/>
          <w:sz w:val="28"/>
          <w:szCs w:val="28"/>
        </w:rPr>
      </w:pPr>
      <w:r w:rsidRPr="00F81610">
        <w:rPr>
          <w:rFonts w:ascii="Times New Roman" w:hAnsi="Times New Roman"/>
          <w:noProof/>
          <w:sz w:val="24"/>
          <w:szCs w:val="24"/>
          <w:lang w:eastAsia="ru-RU"/>
        </w:rPr>
        <w:drawing>
          <wp:anchor distT="0" distB="0" distL="114300" distR="114300" simplePos="0" relativeHeight="251659264" behindDoc="1" locked="0" layoutInCell="1" allowOverlap="1" wp14:anchorId="5EA3B927" wp14:editId="505A4923">
            <wp:simplePos x="0" y="0"/>
            <wp:positionH relativeFrom="column">
              <wp:posOffset>-213360</wp:posOffset>
            </wp:positionH>
            <wp:positionV relativeFrom="paragraph">
              <wp:posOffset>396240</wp:posOffset>
            </wp:positionV>
            <wp:extent cx="6248400" cy="2981325"/>
            <wp:effectExtent l="0" t="0" r="0" b="9525"/>
            <wp:wrapTight wrapText="bothSides">
              <wp:wrapPolygon edited="0">
                <wp:start x="0" y="0"/>
                <wp:lineTo x="0" y="21531"/>
                <wp:lineTo x="21534" y="21531"/>
                <wp:lineTo x="21534"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F81610">
        <w:rPr>
          <w:rFonts w:ascii="Times New Roman" w:hAnsi="Times New Roman"/>
          <w:sz w:val="24"/>
          <w:szCs w:val="24"/>
        </w:rPr>
        <w:t xml:space="preserve">Диаграмма </w:t>
      </w:r>
      <w:r w:rsidR="00F81610">
        <w:rPr>
          <w:rFonts w:ascii="Times New Roman" w:hAnsi="Times New Roman"/>
          <w:sz w:val="24"/>
          <w:szCs w:val="24"/>
        </w:rPr>
        <w:t>1</w:t>
      </w:r>
    </w:p>
    <w:p w14:paraId="00E5DA56" w14:textId="77777777" w:rsidR="00FE1EAE" w:rsidRPr="004A2E3F" w:rsidRDefault="00FE1EAE" w:rsidP="00FE1EAE">
      <w:pPr>
        <w:pStyle w:val="20"/>
        <w:shd w:val="clear" w:color="auto" w:fill="auto"/>
        <w:spacing w:before="0" w:line="240" w:lineRule="auto"/>
        <w:ind w:firstLine="568"/>
        <w:rPr>
          <w:rFonts w:ascii="Times New Roman" w:hAnsi="Times New Roman"/>
          <w:color w:val="0D0D0D" w:themeColor="text1" w:themeTint="F2"/>
          <w:sz w:val="28"/>
          <w:szCs w:val="28"/>
        </w:rPr>
      </w:pPr>
      <w:r w:rsidRPr="004A2E3F">
        <w:rPr>
          <w:rFonts w:ascii="Times New Roman" w:hAnsi="Times New Roman"/>
          <w:color w:val="0D0D0D" w:themeColor="text1" w:themeTint="F2"/>
          <w:sz w:val="28"/>
          <w:szCs w:val="28"/>
        </w:rPr>
        <w:t xml:space="preserve">Анализ приведенных данных показывает, что большая часть муниципальных закупок осуществляется через аукцион в электронной форме. </w:t>
      </w:r>
    </w:p>
    <w:p w14:paraId="58ED940E" w14:textId="77777777" w:rsidR="0075001E" w:rsidRDefault="00FE1EAE" w:rsidP="00FE1EAE">
      <w:pPr>
        <w:pStyle w:val="20"/>
        <w:shd w:val="clear" w:color="auto" w:fill="auto"/>
        <w:spacing w:before="0" w:line="240" w:lineRule="auto"/>
        <w:ind w:firstLine="760"/>
        <w:rPr>
          <w:rFonts w:ascii="Times New Roman" w:hAnsi="Times New Roman"/>
          <w:color w:val="0D0D0D" w:themeColor="text1" w:themeTint="F2"/>
          <w:sz w:val="28"/>
          <w:szCs w:val="28"/>
        </w:rPr>
      </w:pPr>
      <w:r w:rsidRPr="004A2E3F">
        <w:rPr>
          <w:rFonts w:ascii="Times New Roman" w:hAnsi="Times New Roman"/>
          <w:color w:val="0D0D0D" w:themeColor="text1" w:themeTint="F2"/>
          <w:sz w:val="28"/>
          <w:szCs w:val="28"/>
        </w:rPr>
        <w:t xml:space="preserve">Значительный рост осуществления закупок путем проведения аукционов в электронной форме наряду с сокращением количества запросов котировок обусловлен в большей степени тем, что в результате изменений в Федеральном законе №44-ФЗ, сроки проведения запроса котировок стали более длительными по сравнению со сроками определения поставщика (подрядчика, исполнителя) путем проведения электронного аукциона. Увеличение количества процедур в целом по сравнению с прошлым годом связано с тем, что большинство муниципальных заказчиков в целях экономии бюджетных средств приняли решение осуществлять закупки преимущественно путем проведения конкурсных процедур. Стоит отметить, что это, в свою очередь, является </w:t>
      </w:r>
      <w:r w:rsidRPr="004A2E3F">
        <w:rPr>
          <w:rFonts w:ascii="Times New Roman" w:hAnsi="Times New Roman"/>
          <w:i/>
          <w:color w:val="0D0D0D" w:themeColor="text1" w:themeTint="F2"/>
          <w:sz w:val="28"/>
          <w:szCs w:val="28"/>
        </w:rPr>
        <w:t>положительным фактором,</w:t>
      </w:r>
      <w:r w:rsidRPr="004A2E3F">
        <w:rPr>
          <w:rFonts w:ascii="Times New Roman" w:hAnsi="Times New Roman"/>
          <w:color w:val="0D0D0D" w:themeColor="text1" w:themeTint="F2"/>
          <w:sz w:val="28"/>
          <w:szCs w:val="28"/>
        </w:rPr>
        <w:t xml:space="preserve"> способствующим развитию конкуренции и экономии бюджетных средств.</w:t>
      </w:r>
    </w:p>
    <w:p w14:paraId="0CF5C367" w14:textId="11D8FDA2" w:rsidR="00FE1EAE" w:rsidRDefault="00FE1EAE" w:rsidP="00FE1EAE">
      <w:pPr>
        <w:pStyle w:val="20"/>
        <w:shd w:val="clear" w:color="auto" w:fill="auto"/>
        <w:spacing w:before="0" w:line="240" w:lineRule="auto"/>
        <w:ind w:firstLine="760"/>
        <w:rPr>
          <w:rFonts w:ascii="Times New Roman" w:hAnsi="Times New Roman"/>
          <w:sz w:val="28"/>
          <w:szCs w:val="28"/>
        </w:rPr>
      </w:pPr>
      <w:r>
        <w:rPr>
          <w:rFonts w:ascii="Times New Roman" w:hAnsi="Times New Roman"/>
          <w:color w:val="0D0D0D" w:themeColor="text1" w:themeTint="F2"/>
          <w:sz w:val="28"/>
          <w:szCs w:val="28"/>
        </w:rPr>
        <w:lastRenderedPageBreak/>
        <w:t xml:space="preserve"> </w:t>
      </w:r>
      <w:r w:rsidRPr="009E7347">
        <w:rPr>
          <w:rFonts w:ascii="Times New Roman" w:hAnsi="Times New Roman"/>
          <w:sz w:val="28"/>
          <w:szCs w:val="28"/>
        </w:rPr>
        <w:t xml:space="preserve">Наряду с этим, в части осуществления закупок у единственного поставщика (подрядчика, исполнителя) в соответствии с п. 4 и п. 5 ч. 1 ст. 93 </w:t>
      </w:r>
      <w:r>
        <w:rPr>
          <w:rFonts w:ascii="Times New Roman" w:hAnsi="Times New Roman"/>
          <w:sz w:val="28"/>
          <w:szCs w:val="28"/>
        </w:rPr>
        <w:br/>
        <w:t>ФЗ</w:t>
      </w:r>
      <w:r w:rsidRPr="009E7347">
        <w:rPr>
          <w:rFonts w:ascii="Times New Roman" w:hAnsi="Times New Roman"/>
          <w:sz w:val="28"/>
          <w:szCs w:val="28"/>
        </w:rPr>
        <w:t xml:space="preserve"> №44 муниципальными заказчиками района </w:t>
      </w:r>
      <w:r>
        <w:rPr>
          <w:rFonts w:ascii="Times New Roman" w:hAnsi="Times New Roman"/>
          <w:sz w:val="28"/>
          <w:szCs w:val="28"/>
        </w:rPr>
        <w:t>1 апреля 2020 года был осуществлен</w:t>
      </w:r>
      <w:r w:rsidRPr="009E7347">
        <w:rPr>
          <w:rFonts w:ascii="Times New Roman" w:hAnsi="Times New Roman"/>
          <w:sz w:val="28"/>
          <w:szCs w:val="28"/>
        </w:rPr>
        <w:t xml:space="preserve"> переход на работу </w:t>
      </w:r>
      <w:r w:rsidRPr="0075001E">
        <w:rPr>
          <w:rFonts w:ascii="Times New Roman" w:hAnsi="Times New Roman"/>
          <w:b/>
          <w:bCs/>
          <w:sz w:val="28"/>
          <w:szCs w:val="28"/>
        </w:rPr>
        <w:t>на портале «Малые закупки Смоленской области»</w:t>
      </w:r>
      <w:r w:rsidRPr="009E7347">
        <w:rPr>
          <w:rFonts w:ascii="Times New Roman" w:hAnsi="Times New Roman"/>
          <w:sz w:val="28"/>
          <w:szCs w:val="28"/>
        </w:rPr>
        <w:t>, который является составной частью АИС ГЗ.</w:t>
      </w:r>
      <w:r>
        <w:rPr>
          <w:rFonts w:ascii="Times New Roman" w:hAnsi="Times New Roman"/>
          <w:sz w:val="28"/>
          <w:szCs w:val="28"/>
        </w:rPr>
        <w:t xml:space="preserve"> </w:t>
      </w:r>
    </w:p>
    <w:p w14:paraId="4C86F948" w14:textId="06DCACF4" w:rsidR="00E67BB1" w:rsidRPr="000E0E61" w:rsidRDefault="00E67BB1" w:rsidP="00FE1EAE">
      <w:pPr>
        <w:pStyle w:val="20"/>
        <w:shd w:val="clear" w:color="auto" w:fill="auto"/>
        <w:spacing w:before="0" w:line="240" w:lineRule="auto"/>
        <w:ind w:firstLine="760"/>
        <w:rPr>
          <w:rFonts w:ascii="Times New Roman" w:hAnsi="Times New Roman"/>
          <w:sz w:val="28"/>
          <w:szCs w:val="28"/>
        </w:rPr>
      </w:pPr>
      <w:r w:rsidRPr="000E0E61">
        <w:rPr>
          <w:rFonts w:ascii="Times New Roman" w:hAnsi="Times New Roman"/>
          <w:sz w:val="28"/>
          <w:szCs w:val="28"/>
        </w:rPr>
        <w:t xml:space="preserve">Отделом был разработан </w:t>
      </w:r>
      <w:r w:rsidR="000E0E61" w:rsidRPr="000E0E61">
        <w:rPr>
          <w:rFonts w:ascii="Times New Roman" w:hAnsi="Times New Roman"/>
          <w:sz w:val="28"/>
          <w:szCs w:val="28"/>
        </w:rPr>
        <w:t>Порядок</w:t>
      </w:r>
      <w:r w:rsidR="000E0E61" w:rsidRPr="000E0E61">
        <w:rPr>
          <w:rFonts w:ascii="Times New Roman" w:hAnsi="Times New Roman"/>
          <w:sz w:val="28"/>
          <w:szCs w:val="28"/>
          <w:lang w:eastAsia="ru-RU"/>
        </w:rPr>
        <w:t xml:space="preserve"> работы муниципальных заказчиков муниципального образования «Вяземский район» Смоленской области, осуществляющих закупки в соответствии с Федеральным законом                             от 05.04.2013 №44-Ф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14:paraId="1EA145D6" w14:textId="6F900215" w:rsidR="0093426B" w:rsidRDefault="0075001E" w:rsidP="00AC64DE">
      <w:pPr>
        <w:jc w:val="both"/>
        <w:rPr>
          <w:sz w:val="28"/>
          <w:szCs w:val="28"/>
        </w:rPr>
      </w:pPr>
      <w:r>
        <w:rPr>
          <w:sz w:val="28"/>
          <w:szCs w:val="28"/>
        </w:rPr>
        <w:tab/>
        <w:t xml:space="preserve">На сегодняшний день на данной платформе размещают свои малые закупки </w:t>
      </w:r>
      <w:r w:rsidR="002423F2">
        <w:rPr>
          <w:sz w:val="28"/>
          <w:szCs w:val="28"/>
        </w:rPr>
        <w:t xml:space="preserve">51 </w:t>
      </w:r>
      <w:r w:rsidR="001D2A8E">
        <w:rPr>
          <w:sz w:val="28"/>
          <w:szCs w:val="28"/>
        </w:rPr>
        <w:t xml:space="preserve">муниципальный заказчик, из работы в данном модуле исключено 21 учреждение. В основном это сельские школы и детские сады, у которых могут возникнуть трудности при поставке необходимых товаров ввиду своей транспортной удаленности от административного центра. </w:t>
      </w:r>
    </w:p>
    <w:p w14:paraId="6C41FB73" w14:textId="2F4A2A00" w:rsidR="001D2A8E" w:rsidRDefault="000E0E61" w:rsidP="000E0E61">
      <w:pPr>
        <w:ind w:firstLine="708"/>
        <w:jc w:val="both"/>
        <w:rPr>
          <w:sz w:val="28"/>
          <w:szCs w:val="28"/>
        </w:rPr>
      </w:pPr>
      <w:r>
        <w:rPr>
          <w:sz w:val="28"/>
          <w:szCs w:val="28"/>
        </w:rPr>
        <w:t xml:space="preserve">Начиная с 1 апреля только для нужд Администрации было проведено 27 процедур мини-торгов, и это уже успело </w:t>
      </w:r>
      <w:r w:rsidR="001D2A8E">
        <w:rPr>
          <w:sz w:val="28"/>
          <w:szCs w:val="28"/>
        </w:rPr>
        <w:t xml:space="preserve">показать положительные результаты </w:t>
      </w:r>
      <w:r>
        <w:rPr>
          <w:sz w:val="28"/>
          <w:szCs w:val="28"/>
        </w:rPr>
        <w:t>–</w:t>
      </w:r>
      <w:r w:rsidR="001D2A8E">
        <w:rPr>
          <w:sz w:val="28"/>
          <w:szCs w:val="28"/>
        </w:rPr>
        <w:t xml:space="preserve"> </w:t>
      </w:r>
      <w:r>
        <w:rPr>
          <w:sz w:val="28"/>
          <w:szCs w:val="28"/>
        </w:rPr>
        <w:t>образовалась дополнительная экономия бюджетных средств</w:t>
      </w:r>
      <w:r w:rsidR="001D2A8E">
        <w:rPr>
          <w:sz w:val="28"/>
          <w:szCs w:val="28"/>
        </w:rPr>
        <w:t>.</w:t>
      </w:r>
      <w:r>
        <w:rPr>
          <w:sz w:val="28"/>
          <w:szCs w:val="28"/>
        </w:rPr>
        <w:t xml:space="preserve"> </w:t>
      </w:r>
    </w:p>
    <w:p w14:paraId="4B39FC4B" w14:textId="0A90AF3A" w:rsidR="00710C16" w:rsidRDefault="00710C16" w:rsidP="000E0E61">
      <w:pPr>
        <w:ind w:firstLine="708"/>
        <w:jc w:val="both"/>
        <w:rPr>
          <w:sz w:val="28"/>
          <w:szCs w:val="28"/>
        </w:rPr>
      </w:pPr>
    </w:p>
    <w:p w14:paraId="4DC4D96F" w14:textId="2F4F5C4B" w:rsidR="00710C16" w:rsidRDefault="00710C16" w:rsidP="00710C16">
      <w:pPr>
        <w:jc w:val="center"/>
        <w:rPr>
          <w:b/>
          <w:sz w:val="28"/>
          <w:szCs w:val="28"/>
        </w:rPr>
      </w:pPr>
      <w:r w:rsidRPr="002044BE">
        <w:rPr>
          <w:b/>
          <w:sz w:val="28"/>
          <w:szCs w:val="28"/>
        </w:rPr>
        <w:t>Несостоявшиеся закупки</w:t>
      </w:r>
    </w:p>
    <w:p w14:paraId="12946471" w14:textId="77777777" w:rsidR="005A5D11" w:rsidRPr="000C3540" w:rsidRDefault="005A5D11" w:rsidP="00710C16">
      <w:pPr>
        <w:jc w:val="center"/>
        <w:rPr>
          <w:b/>
          <w:sz w:val="28"/>
          <w:szCs w:val="28"/>
        </w:rPr>
      </w:pPr>
    </w:p>
    <w:p w14:paraId="13D65BF5" w14:textId="77777777" w:rsidR="00710C16" w:rsidRDefault="00710C16" w:rsidP="00710C16">
      <w:pPr>
        <w:widowControl w:val="0"/>
        <w:tabs>
          <w:tab w:val="left" w:pos="1134"/>
        </w:tabs>
        <w:autoSpaceDE w:val="0"/>
        <w:autoSpaceDN w:val="0"/>
        <w:adjustRightInd w:val="0"/>
        <w:ind w:firstLine="709"/>
        <w:jc w:val="both"/>
        <w:rPr>
          <w:sz w:val="28"/>
          <w:szCs w:val="28"/>
          <w:lang w:eastAsia="en-US"/>
        </w:rPr>
      </w:pPr>
      <w:r>
        <w:rPr>
          <w:sz w:val="28"/>
          <w:szCs w:val="28"/>
          <w:lang w:eastAsia="en-US"/>
        </w:rPr>
        <w:t>В 2020 году несостоявшимися признано 137 закупок. Доля несостоявшихся процедур от общего количества и объема размещенных в 2020 году извещений составила  39,6</w:t>
      </w:r>
      <w:r>
        <w:rPr>
          <w:bCs/>
          <w:sz w:val="28"/>
          <w:szCs w:val="28"/>
          <w:lang w:eastAsia="en-US"/>
        </w:rPr>
        <w:t>%.</w:t>
      </w:r>
      <w:r>
        <w:rPr>
          <w:sz w:val="28"/>
          <w:szCs w:val="28"/>
          <w:lang w:eastAsia="en-US"/>
        </w:rPr>
        <w:t xml:space="preserve"> </w:t>
      </w:r>
    </w:p>
    <w:p w14:paraId="2192774F" w14:textId="77777777" w:rsidR="00710C16" w:rsidRDefault="00710C16" w:rsidP="00710C16">
      <w:pPr>
        <w:widowControl w:val="0"/>
        <w:tabs>
          <w:tab w:val="left" w:pos="1134"/>
        </w:tabs>
        <w:autoSpaceDE w:val="0"/>
        <w:autoSpaceDN w:val="0"/>
        <w:adjustRightInd w:val="0"/>
        <w:ind w:firstLine="709"/>
        <w:jc w:val="both"/>
        <w:rPr>
          <w:sz w:val="28"/>
          <w:szCs w:val="28"/>
          <w:lang w:eastAsia="en-US"/>
        </w:rPr>
      </w:pPr>
      <w:r>
        <w:rPr>
          <w:sz w:val="28"/>
          <w:szCs w:val="28"/>
          <w:lang w:eastAsia="en-US"/>
        </w:rPr>
        <w:t>Около 43,1</w:t>
      </w:r>
      <w:r>
        <w:rPr>
          <w:bCs/>
          <w:sz w:val="28"/>
          <w:szCs w:val="28"/>
          <w:lang w:eastAsia="en-US"/>
        </w:rPr>
        <w:t xml:space="preserve">% </w:t>
      </w:r>
      <w:r>
        <w:rPr>
          <w:sz w:val="28"/>
          <w:szCs w:val="28"/>
          <w:lang w:eastAsia="en-US"/>
        </w:rPr>
        <w:t xml:space="preserve">от общего объема несостоявшихся процедур  (59 закупок) приходится на долю процедур определения поставщика, по результатам проведения которых заключены муниципальные контракты, но которые при этом признаны несостоявшимися по причине подачи или допуска только одной заявки. </w:t>
      </w:r>
    </w:p>
    <w:p w14:paraId="0AF7D91C" w14:textId="77777777" w:rsidR="00710C16" w:rsidRDefault="00710C16" w:rsidP="00710C16">
      <w:pPr>
        <w:ind w:firstLine="708"/>
        <w:jc w:val="both"/>
        <w:rPr>
          <w:sz w:val="28"/>
          <w:szCs w:val="28"/>
        </w:rPr>
      </w:pPr>
      <w:r>
        <w:rPr>
          <w:sz w:val="28"/>
          <w:szCs w:val="28"/>
        </w:rPr>
        <w:t xml:space="preserve">Не состоялось торгов (не заключены контракты) из-за отсутствия заявок, отмены торгов – 78. </w:t>
      </w:r>
    </w:p>
    <w:p w14:paraId="6150BE9E" w14:textId="77777777" w:rsidR="00710C16" w:rsidRDefault="00710C16" w:rsidP="00710C16">
      <w:pPr>
        <w:widowControl w:val="0"/>
        <w:tabs>
          <w:tab w:val="left" w:pos="1134"/>
        </w:tabs>
        <w:autoSpaceDE w:val="0"/>
        <w:autoSpaceDN w:val="0"/>
        <w:adjustRightInd w:val="0"/>
        <w:ind w:firstLine="709"/>
        <w:jc w:val="both"/>
        <w:rPr>
          <w:sz w:val="28"/>
          <w:szCs w:val="28"/>
          <w:lang w:eastAsia="en-US"/>
        </w:rPr>
      </w:pPr>
      <w:r>
        <w:rPr>
          <w:sz w:val="28"/>
          <w:szCs w:val="28"/>
          <w:lang w:eastAsia="en-US"/>
        </w:rPr>
        <w:t>Существенную долю в общее количество несостоявшихся процедур определения поставщика, по которым заключены контракты, внесли электронные аукционы (71 закупка) – 47</w:t>
      </w:r>
      <w:r>
        <w:rPr>
          <w:bCs/>
          <w:sz w:val="28"/>
          <w:szCs w:val="28"/>
          <w:lang w:eastAsia="en-US"/>
        </w:rPr>
        <w:t xml:space="preserve">% </w:t>
      </w:r>
      <w:r>
        <w:rPr>
          <w:sz w:val="28"/>
          <w:szCs w:val="28"/>
          <w:lang w:eastAsia="en-US"/>
        </w:rPr>
        <w:t xml:space="preserve">. </w:t>
      </w:r>
    </w:p>
    <w:p w14:paraId="5426B6DC" w14:textId="120F9FEF" w:rsidR="001D2A8E" w:rsidRDefault="00710C16" w:rsidP="00F81610">
      <w:pPr>
        <w:widowControl w:val="0"/>
        <w:tabs>
          <w:tab w:val="left" w:pos="1134"/>
        </w:tabs>
        <w:autoSpaceDE w:val="0"/>
        <w:autoSpaceDN w:val="0"/>
        <w:adjustRightInd w:val="0"/>
        <w:ind w:firstLine="709"/>
        <w:jc w:val="both"/>
        <w:rPr>
          <w:sz w:val="28"/>
          <w:szCs w:val="28"/>
          <w:lang w:eastAsia="en-US"/>
        </w:rPr>
      </w:pPr>
      <w:r>
        <w:rPr>
          <w:sz w:val="28"/>
          <w:szCs w:val="28"/>
          <w:lang w:eastAsia="en-US"/>
        </w:rPr>
        <w:t>Это обусловлено в основном тем, что в отчетном году приобретались жилые помещения (квартиры) для детей-сирот путем проведения электронного аукциона и, по причине отсутствия в заявок, специалистам отдела приходилось повторно объявлять конкурсные процедуры. Так, для того, чтобы приобрести 16 квартир, пришлось объявить 71 электронный аукцион. Так же, большая доля аукционов не состоялась по причине подачи на участие в нем только одной заявки. Данные муниципальные контракты заключались по начальным (максимальным) ценам, указанным в извещении о проведении закупки.</w:t>
      </w:r>
    </w:p>
    <w:p w14:paraId="7C77559C" w14:textId="77777777" w:rsidR="00253B64" w:rsidRPr="00F81610" w:rsidRDefault="00253B64" w:rsidP="00F81610">
      <w:pPr>
        <w:widowControl w:val="0"/>
        <w:tabs>
          <w:tab w:val="left" w:pos="1134"/>
        </w:tabs>
        <w:autoSpaceDE w:val="0"/>
        <w:autoSpaceDN w:val="0"/>
        <w:adjustRightInd w:val="0"/>
        <w:ind w:firstLine="709"/>
        <w:jc w:val="both"/>
        <w:rPr>
          <w:sz w:val="28"/>
          <w:szCs w:val="28"/>
          <w:lang w:eastAsia="en-US"/>
        </w:rPr>
      </w:pPr>
    </w:p>
    <w:p w14:paraId="1E2189DE" w14:textId="71376808" w:rsidR="005A5D11" w:rsidRDefault="00AD638D" w:rsidP="00F81610">
      <w:pPr>
        <w:jc w:val="center"/>
        <w:rPr>
          <w:b/>
          <w:bCs/>
          <w:sz w:val="28"/>
          <w:szCs w:val="28"/>
        </w:rPr>
      </w:pPr>
      <w:r w:rsidRPr="00AD638D">
        <w:rPr>
          <w:b/>
          <w:bCs/>
          <w:sz w:val="28"/>
          <w:szCs w:val="28"/>
        </w:rPr>
        <w:t>Муниципальные контракты</w:t>
      </w:r>
    </w:p>
    <w:p w14:paraId="759EFACE" w14:textId="77777777" w:rsidR="00F81610" w:rsidRDefault="00F81610" w:rsidP="00F81610">
      <w:pPr>
        <w:rPr>
          <w:b/>
          <w:bCs/>
          <w:sz w:val="28"/>
          <w:szCs w:val="28"/>
        </w:rPr>
      </w:pPr>
    </w:p>
    <w:p w14:paraId="5E090CC5" w14:textId="5CE068A7" w:rsidR="00F2272A" w:rsidRPr="00F2272A" w:rsidRDefault="00F2272A" w:rsidP="00F2272A">
      <w:pPr>
        <w:pStyle w:val="20"/>
        <w:shd w:val="clear" w:color="auto" w:fill="auto"/>
        <w:spacing w:before="0" w:line="240" w:lineRule="auto"/>
        <w:ind w:firstLine="760"/>
        <w:rPr>
          <w:rFonts w:ascii="Times New Roman" w:hAnsi="Times New Roman"/>
          <w:sz w:val="28"/>
          <w:szCs w:val="28"/>
        </w:rPr>
      </w:pPr>
      <w:r w:rsidRPr="00F2272A">
        <w:rPr>
          <w:rFonts w:ascii="Times New Roman" w:hAnsi="Times New Roman"/>
          <w:sz w:val="28"/>
          <w:szCs w:val="28"/>
        </w:rPr>
        <w:t xml:space="preserve">В отчетном году по итогам проведения конкурсных процедур муниципальными заказчиками Вяземского района был заключен </w:t>
      </w:r>
      <w:r>
        <w:rPr>
          <w:rFonts w:ascii="Times New Roman" w:hAnsi="Times New Roman"/>
          <w:b/>
          <w:sz w:val="28"/>
          <w:szCs w:val="28"/>
        </w:rPr>
        <w:t>291</w:t>
      </w:r>
      <w:r w:rsidRPr="00F2272A">
        <w:rPr>
          <w:rFonts w:ascii="Times New Roman" w:hAnsi="Times New Roman"/>
          <w:sz w:val="28"/>
          <w:szCs w:val="28"/>
        </w:rPr>
        <w:t xml:space="preserve"> муниципальный контракт на общую сумму </w:t>
      </w:r>
      <w:r>
        <w:rPr>
          <w:rFonts w:ascii="Times New Roman" w:hAnsi="Times New Roman"/>
          <w:b/>
          <w:sz w:val="28"/>
          <w:szCs w:val="28"/>
        </w:rPr>
        <w:t>638 685 496,88</w:t>
      </w:r>
      <w:r w:rsidRPr="00F2272A">
        <w:rPr>
          <w:rFonts w:ascii="Times New Roman" w:hAnsi="Times New Roman"/>
          <w:b/>
          <w:sz w:val="28"/>
          <w:szCs w:val="28"/>
        </w:rPr>
        <w:t xml:space="preserve"> руб.,</w:t>
      </w:r>
      <w:r w:rsidRPr="00F2272A">
        <w:rPr>
          <w:rFonts w:ascii="Times New Roman" w:hAnsi="Times New Roman"/>
          <w:sz w:val="28"/>
          <w:szCs w:val="28"/>
        </w:rPr>
        <w:t xml:space="preserve"> в том числе:</w:t>
      </w:r>
    </w:p>
    <w:p w14:paraId="1C3BD33C" w14:textId="7DC44CF5" w:rsidR="00F2272A" w:rsidRPr="00F2272A" w:rsidRDefault="00F2272A" w:rsidP="00F2272A">
      <w:pPr>
        <w:pStyle w:val="20"/>
        <w:shd w:val="clear" w:color="auto" w:fill="auto"/>
        <w:spacing w:before="0" w:line="240" w:lineRule="auto"/>
        <w:ind w:firstLine="760"/>
        <w:rPr>
          <w:rFonts w:ascii="Times New Roman" w:hAnsi="Times New Roman"/>
          <w:sz w:val="28"/>
          <w:szCs w:val="28"/>
        </w:rPr>
      </w:pPr>
      <w:r w:rsidRPr="00F2272A">
        <w:rPr>
          <w:rFonts w:ascii="Times New Roman" w:hAnsi="Times New Roman"/>
          <w:sz w:val="28"/>
          <w:szCs w:val="28"/>
        </w:rPr>
        <w:t xml:space="preserve">- по результатам проведения электронных аукционов – </w:t>
      </w:r>
      <w:r w:rsidRPr="00F2272A">
        <w:rPr>
          <w:rFonts w:ascii="Times New Roman" w:hAnsi="Times New Roman"/>
          <w:b/>
          <w:sz w:val="28"/>
          <w:szCs w:val="28"/>
        </w:rPr>
        <w:t xml:space="preserve">229 </w:t>
      </w:r>
      <w:r w:rsidRPr="00F2272A">
        <w:rPr>
          <w:rFonts w:ascii="Times New Roman" w:hAnsi="Times New Roman"/>
          <w:sz w:val="28"/>
          <w:szCs w:val="28"/>
        </w:rPr>
        <w:t xml:space="preserve">муниципальных контрактов на общую сумму </w:t>
      </w:r>
      <w:r>
        <w:rPr>
          <w:rFonts w:ascii="Times New Roman" w:hAnsi="Times New Roman"/>
          <w:b/>
          <w:sz w:val="28"/>
          <w:szCs w:val="28"/>
        </w:rPr>
        <w:t>616 502 991,87</w:t>
      </w:r>
      <w:r w:rsidRPr="00F2272A">
        <w:rPr>
          <w:rFonts w:ascii="Times New Roman" w:hAnsi="Times New Roman"/>
          <w:b/>
          <w:sz w:val="28"/>
          <w:szCs w:val="28"/>
        </w:rPr>
        <w:t xml:space="preserve"> руб</w:t>
      </w:r>
      <w:r w:rsidRPr="00F2272A">
        <w:rPr>
          <w:rFonts w:ascii="Times New Roman" w:hAnsi="Times New Roman"/>
          <w:sz w:val="28"/>
          <w:szCs w:val="28"/>
        </w:rPr>
        <w:t>;</w:t>
      </w:r>
    </w:p>
    <w:p w14:paraId="3E236D54" w14:textId="45433A7C" w:rsidR="00F2272A" w:rsidRPr="00F2272A" w:rsidRDefault="00F2272A" w:rsidP="00F2272A">
      <w:pPr>
        <w:pStyle w:val="20"/>
        <w:shd w:val="clear" w:color="auto" w:fill="auto"/>
        <w:spacing w:before="0" w:line="240" w:lineRule="auto"/>
        <w:ind w:firstLine="760"/>
        <w:rPr>
          <w:rFonts w:ascii="Times New Roman" w:hAnsi="Times New Roman"/>
          <w:sz w:val="28"/>
          <w:szCs w:val="28"/>
        </w:rPr>
      </w:pPr>
      <w:r w:rsidRPr="00F2272A">
        <w:rPr>
          <w:rFonts w:ascii="Times New Roman" w:hAnsi="Times New Roman"/>
          <w:sz w:val="28"/>
          <w:szCs w:val="28"/>
        </w:rPr>
        <w:t xml:space="preserve">- по результатам проведения запросов котировок в электронной форме – </w:t>
      </w:r>
      <w:r>
        <w:rPr>
          <w:rFonts w:ascii="Times New Roman" w:hAnsi="Times New Roman"/>
          <w:sz w:val="28"/>
          <w:szCs w:val="28"/>
        </w:rPr>
        <w:t xml:space="preserve"> </w:t>
      </w:r>
      <w:r>
        <w:rPr>
          <w:rFonts w:ascii="Times New Roman" w:hAnsi="Times New Roman"/>
          <w:b/>
          <w:sz w:val="28"/>
          <w:szCs w:val="28"/>
        </w:rPr>
        <w:t>19</w:t>
      </w:r>
      <w:r w:rsidRPr="00F2272A">
        <w:rPr>
          <w:rFonts w:ascii="Times New Roman" w:hAnsi="Times New Roman"/>
          <w:b/>
          <w:sz w:val="28"/>
          <w:szCs w:val="28"/>
        </w:rPr>
        <w:t xml:space="preserve"> </w:t>
      </w:r>
      <w:r w:rsidRPr="00F2272A">
        <w:rPr>
          <w:rFonts w:ascii="Times New Roman" w:hAnsi="Times New Roman"/>
          <w:sz w:val="28"/>
          <w:szCs w:val="28"/>
        </w:rPr>
        <w:t xml:space="preserve">муниципальных контрактов на общую сумму </w:t>
      </w:r>
      <w:r>
        <w:rPr>
          <w:rFonts w:ascii="Times New Roman" w:hAnsi="Times New Roman"/>
          <w:b/>
          <w:sz w:val="28"/>
          <w:szCs w:val="28"/>
        </w:rPr>
        <w:t>2 888 345,00</w:t>
      </w:r>
      <w:r w:rsidRPr="00F2272A">
        <w:rPr>
          <w:rFonts w:ascii="Times New Roman" w:hAnsi="Times New Roman"/>
          <w:sz w:val="28"/>
          <w:szCs w:val="28"/>
        </w:rPr>
        <w:t xml:space="preserve"> </w:t>
      </w:r>
      <w:r w:rsidRPr="00F2272A">
        <w:rPr>
          <w:rFonts w:ascii="Times New Roman" w:hAnsi="Times New Roman"/>
          <w:b/>
          <w:sz w:val="28"/>
          <w:szCs w:val="28"/>
        </w:rPr>
        <w:t>руб</w:t>
      </w:r>
      <w:r w:rsidRPr="00F2272A">
        <w:rPr>
          <w:rFonts w:ascii="Times New Roman" w:hAnsi="Times New Roman"/>
          <w:sz w:val="28"/>
          <w:szCs w:val="28"/>
        </w:rPr>
        <w:t>.;</w:t>
      </w:r>
    </w:p>
    <w:p w14:paraId="702602C2" w14:textId="70E0F1DF" w:rsidR="00F2272A" w:rsidRDefault="00F2272A" w:rsidP="00F2272A">
      <w:pPr>
        <w:pStyle w:val="20"/>
        <w:shd w:val="clear" w:color="auto" w:fill="auto"/>
        <w:spacing w:before="0" w:line="240" w:lineRule="auto"/>
        <w:ind w:firstLine="760"/>
        <w:rPr>
          <w:rFonts w:ascii="Times New Roman" w:hAnsi="Times New Roman"/>
          <w:b/>
          <w:sz w:val="28"/>
          <w:szCs w:val="28"/>
        </w:rPr>
      </w:pPr>
      <w:r w:rsidRPr="00F2272A">
        <w:rPr>
          <w:rFonts w:ascii="Times New Roman" w:hAnsi="Times New Roman"/>
          <w:sz w:val="28"/>
          <w:szCs w:val="28"/>
        </w:rPr>
        <w:t xml:space="preserve">- по итогам проведения открытых конкурсов в электронной форме – </w:t>
      </w:r>
      <w:r w:rsidRPr="00F2272A">
        <w:rPr>
          <w:rFonts w:ascii="Times New Roman" w:hAnsi="Times New Roman"/>
          <w:sz w:val="28"/>
          <w:szCs w:val="28"/>
        </w:rPr>
        <w:br/>
      </w:r>
      <w:r>
        <w:rPr>
          <w:rFonts w:ascii="Times New Roman" w:hAnsi="Times New Roman"/>
          <w:b/>
          <w:sz w:val="28"/>
          <w:szCs w:val="28"/>
        </w:rPr>
        <w:t>14</w:t>
      </w:r>
      <w:r w:rsidRPr="00F2272A">
        <w:rPr>
          <w:rFonts w:ascii="Times New Roman" w:hAnsi="Times New Roman"/>
          <w:b/>
          <w:sz w:val="28"/>
          <w:szCs w:val="28"/>
        </w:rPr>
        <w:t xml:space="preserve"> </w:t>
      </w:r>
      <w:r w:rsidRPr="00F2272A">
        <w:rPr>
          <w:rFonts w:ascii="Times New Roman" w:hAnsi="Times New Roman"/>
          <w:sz w:val="28"/>
          <w:szCs w:val="28"/>
        </w:rPr>
        <w:t>муниципальных контракт</w:t>
      </w:r>
      <w:r>
        <w:rPr>
          <w:rFonts w:ascii="Times New Roman" w:hAnsi="Times New Roman"/>
          <w:sz w:val="28"/>
          <w:szCs w:val="28"/>
        </w:rPr>
        <w:t>ов</w:t>
      </w:r>
      <w:r w:rsidRPr="00F2272A">
        <w:rPr>
          <w:rFonts w:ascii="Times New Roman" w:hAnsi="Times New Roman"/>
          <w:sz w:val="28"/>
          <w:szCs w:val="28"/>
        </w:rPr>
        <w:t xml:space="preserve"> на общую сумму </w:t>
      </w:r>
      <w:r>
        <w:rPr>
          <w:rFonts w:ascii="Times New Roman" w:hAnsi="Times New Roman"/>
          <w:b/>
          <w:sz w:val="28"/>
          <w:szCs w:val="28"/>
        </w:rPr>
        <w:t>14 491 200,00</w:t>
      </w:r>
      <w:r w:rsidRPr="00F2272A">
        <w:rPr>
          <w:rFonts w:ascii="Times New Roman" w:hAnsi="Times New Roman"/>
          <w:sz w:val="28"/>
          <w:szCs w:val="28"/>
        </w:rPr>
        <w:t xml:space="preserve"> </w:t>
      </w:r>
      <w:r w:rsidRPr="00F2272A">
        <w:rPr>
          <w:rFonts w:ascii="Times New Roman" w:hAnsi="Times New Roman"/>
          <w:b/>
          <w:sz w:val="28"/>
          <w:szCs w:val="28"/>
        </w:rPr>
        <w:t>руб.</w:t>
      </w:r>
      <w:r w:rsidR="002E2A7B">
        <w:rPr>
          <w:rFonts w:ascii="Times New Roman" w:hAnsi="Times New Roman"/>
          <w:b/>
          <w:sz w:val="28"/>
          <w:szCs w:val="28"/>
        </w:rPr>
        <w:t>;</w:t>
      </w:r>
    </w:p>
    <w:p w14:paraId="00ABF273" w14:textId="0763700F" w:rsidR="002E2A7B" w:rsidRDefault="002E2A7B" w:rsidP="00F2272A">
      <w:pPr>
        <w:pStyle w:val="20"/>
        <w:shd w:val="clear" w:color="auto" w:fill="auto"/>
        <w:spacing w:before="0" w:line="240" w:lineRule="auto"/>
        <w:ind w:firstLine="760"/>
        <w:rPr>
          <w:rFonts w:ascii="Times New Roman" w:hAnsi="Times New Roman"/>
          <w:b/>
          <w:sz w:val="28"/>
          <w:szCs w:val="28"/>
        </w:rPr>
      </w:pPr>
      <w:r>
        <w:rPr>
          <w:rFonts w:ascii="Times New Roman" w:hAnsi="Times New Roman"/>
          <w:b/>
          <w:sz w:val="28"/>
          <w:szCs w:val="28"/>
        </w:rPr>
        <w:t xml:space="preserve">- </w:t>
      </w:r>
      <w:r w:rsidRPr="00640D3F">
        <w:rPr>
          <w:rFonts w:ascii="Times New Roman" w:hAnsi="Times New Roman"/>
          <w:bCs/>
          <w:sz w:val="28"/>
          <w:szCs w:val="28"/>
        </w:rPr>
        <w:t>по итогам проведения процедур в Модуле</w:t>
      </w:r>
      <w:r w:rsidR="00640D3F" w:rsidRPr="00640D3F">
        <w:rPr>
          <w:rFonts w:ascii="Times New Roman" w:hAnsi="Times New Roman"/>
          <w:bCs/>
          <w:sz w:val="28"/>
          <w:szCs w:val="28"/>
        </w:rPr>
        <w:t xml:space="preserve"> «Малые закупки Смоленской области» -</w:t>
      </w:r>
      <w:r w:rsidR="00640D3F">
        <w:rPr>
          <w:rFonts w:ascii="Times New Roman" w:hAnsi="Times New Roman"/>
          <w:b/>
          <w:sz w:val="28"/>
          <w:szCs w:val="28"/>
        </w:rPr>
        <w:t xml:space="preserve"> 27 </w:t>
      </w:r>
      <w:r w:rsidR="00640D3F" w:rsidRPr="00640D3F">
        <w:rPr>
          <w:rFonts w:ascii="Times New Roman" w:hAnsi="Times New Roman"/>
          <w:bCs/>
          <w:sz w:val="28"/>
          <w:szCs w:val="28"/>
        </w:rPr>
        <w:t>муниципальных контрактов на общую сумму</w:t>
      </w:r>
      <w:r w:rsidR="00640D3F">
        <w:rPr>
          <w:rFonts w:ascii="Times New Roman" w:hAnsi="Times New Roman"/>
          <w:b/>
          <w:sz w:val="28"/>
          <w:szCs w:val="28"/>
        </w:rPr>
        <w:t xml:space="preserve"> 4 802 960,00 руб.</w:t>
      </w:r>
    </w:p>
    <w:p w14:paraId="43CDAD88" w14:textId="155A4B66" w:rsidR="00640D3F" w:rsidRPr="00175042" w:rsidRDefault="00640D3F" w:rsidP="00640D3F">
      <w:pPr>
        <w:pStyle w:val="20"/>
        <w:shd w:val="clear" w:color="auto" w:fill="auto"/>
        <w:spacing w:before="0" w:line="240" w:lineRule="auto"/>
        <w:ind w:firstLine="708"/>
        <w:rPr>
          <w:rFonts w:ascii="Times New Roman" w:hAnsi="Times New Roman"/>
          <w:color w:val="000000"/>
          <w:sz w:val="28"/>
          <w:szCs w:val="28"/>
          <w:lang w:bidi="ru-RU"/>
        </w:rPr>
      </w:pPr>
      <w:r w:rsidRPr="00175042">
        <w:rPr>
          <w:rFonts w:ascii="Times New Roman" w:hAnsi="Times New Roman"/>
          <w:sz w:val="28"/>
          <w:szCs w:val="28"/>
        </w:rPr>
        <w:t xml:space="preserve">Для нужд </w:t>
      </w:r>
      <w:r w:rsidRPr="00175042">
        <w:rPr>
          <w:rFonts w:ascii="Times New Roman" w:hAnsi="Times New Roman"/>
          <w:b/>
          <w:bCs/>
          <w:i/>
          <w:iCs/>
          <w:sz w:val="28"/>
          <w:szCs w:val="28"/>
        </w:rPr>
        <w:t xml:space="preserve">Администрации </w:t>
      </w:r>
      <w:r w:rsidRPr="00175042">
        <w:rPr>
          <w:rFonts w:ascii="Times New Roman" w:hAnsi="Times New Roman"/>
          <w:sz w:val="28"/>
          <w:szCs w:val="28"/>
        </w:rPr>
        <w:t xml:space="preserve">в 2020 году </w:t>
      </w:r>
      <w:r w:rsidRPr="00175042">
        <w:rPr>
          <w:rFonts w:ascii="Times New Roman" w:hAnsi="Times New Roman"/>
          <w:color w:val="000000"/>
          <w:sz w:val="28"/>
          <w:szCs w:val="28"/>
          <w:lang w:bidi="ru-RU"/>
        </w:rPr>
        <w:t xml:space="preserve">было проведено 223 конкурсных процедуры на сумму </w:t>
      </w:r>
      <w:r w:rsidR="00175042">
        <w:rPr>
          <w:rFonts w:ascii="Times New Roman" w:hAnsi="Times New Roman"/>
          <w:color w:val="000000"/>
          <w:sz w:val="28"/>
          <w:szCs w:val="28"/>
          <w:lang w:bidi="ru-RU"/>
        </w:rPr>
        <w:t xml:space="preserve">669 865,3 </w:t>
      </w:r>
      <w:r w:rsidRPr="00175042">
        <w:rPr>
          <w:rFonts w:ascii="Times New Roman" w:hAnsi="Times New Roman"/>
          <w:color w:val="000000"/>
          <w:sz w:val="28"/>
          <w:szCs w:val="28"/>
          <w:lang w:bidi="ru-RU"/>
        </w:rPr>
        <w:t xml:space="preserve">тыс. руб., по итогам заключено 114 муниципальных контракта на общую сумму </w:t>
      </w:r>
      <w:r w:rsidR="00175042">
        <w:rPr>
          <w:rFonts w:ascii="Times New Roman" w:hAnsi="Times New Roman"/>
          <w:color w:val="000000"/>
          <w:sz w:val="28"/>
          <w:szCs w:val="28"/>
          <w:lang w:bidi="ru-RU"/>
        </w:rPr>
        <w:t>567 978,00</w:t>
      </w:r>
      <w:r w:rsidRPr="00175042">
        <w:rPr>
          <w:rFonts w:ascii="Times New Roman" w:hAnsi="Times New Roman"/>
          <w:color w:val="000000"/>
          <w:sz w:val="28"/>
          <w:szCs w:val="28"/>
          <w:lang w:bidi="ru-RU"/>
        </w:rPr>
        <w:t xml:space="preserve"> тыс. руб. В сравнении с 2019 годом это на 18% больше.</w:t>
      </w:r>
    </w:p>
    <w:p w14:paraId="6A164283" w14:textId="7EC4F506" w:rsidR="00D61EAE" w:rsidRDefault="00640D3F" w:rsidP="00F81610">
      <w:pPr>
        <w:widowControl w:val="0"/>
        <w:ind w:right="200" w:firstLine="740"/>
        <w:jc w:val="both"/>
        <w:rPr>
          <w:sz w:val="28"/>
          <w:szCs w:val="28"/>
          <w:lang w:eastAsia="en-US"/>
        </w:rPr>
      </w:pPr>
      <w:r w:rsidRPr="00640D3F">
        <w:rPr>
          <w:sz w:val="28"/>
          <w:szCs w:val="28"/>
          <w:lang w:eastAsia="en-US"/>
        </w:rPr>
        <w:t xml:space="preserve">Сравнительная характеристика объемов заключенных контрактов за 2018-2020 гг. представлена в диаграмме </w:t>
      </w:r>
      <w:r w:rsidR="00D61EAE">
        <w:rPr>
          <w:sz w:val="28"/>
          <w:szCs w:val="28"/>
          <w:lang w:eastAsia="en-US"/>
        </w:rPr>
        <w:t>2</w:t>
      </w:r>
      <w:r w:rsidRPr="00640D3F">
        <w:rPr>
          <w:sz w:val="28"/>
          <w:szCs w:val="28"/>
          <w:lang w:eastAsia="en-US"/>
        </w:rPr>
        <w:t>.</w:t>
      </w:r>
    </w:p>
    <w:p w14:paraId="06FD8175" w14:textId="64F8EA14" w:rsidR="00D61EAE" w:rsidRDefault="00D61EAE" w:rsidP="00D61EAE">
      <w:pPr>
        <w:widowControl w:val="0"/>
        <w:ind w:right="200" w:firstLine="740"/>
        <w:jc w:val="right"/>
        <w:rPr>
          <w:lang w:eastAsia="en-US"/>
        </w:rPr>
      </w:pPr>
      <w:r w:rsidRPr="00F81610">
        <w:rPr>
          <w:lang w:eastAsia="en-US"/>
        </w:rPr>
        <w:t>Диаграмма 2</w:t>
      </w:r>
    </w:p>
    <w:p w14:paraId="08484307" w14:textId="496168D0" w:rsidR="00D61EAE" w:rsidRPr="00F81610" w:rsidRDefault="00F81610" w:rsidP="00F81610">
      <w:pPr>
        <w:widowControl w:val="0"/>
        <w:ind w:right="200"/>
        <w:jc w:val="right"/>
        <w:rPr>
          <w:lang w:eastAsia="en-US"/>
        </w:rPr>
      </w:pPr>
      <w:r>
        <w:rPr>
          <w:noProof/>
          <w:sz w:val="28"/>
          <w:szCs w:val="28"/>
        </w:rPr>
        <w:drawing>
          <wp:inline distT="0" distB="0" distL="0" distR="0" wp14:anchorId="769601B4" wp14:editId="033CAA64">
            <wp:extent cx="5895975" cy="2819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633E75" w14:textId="7E9B0829" w:rsidR="00D61EAE" w:rsidRDefault="00D61EAE" w:rsidP="00D61EAE">
      <w:pPr>
        <w:tabs>
          <w:tab w:val="left" w:pos="567"/>
          <w:tab w:val="left" w:pos="851"/>
          <w:tab w:val="center" w:pos="2880"/>
        </w:tabs>
        <w:suppressAutoHyphens/>
        <w:ind w:firstLine="567"/>
        <w:jc w:val="both"/>
        <w:rPr>
          <w:sz w:val="28"/>
          <w:szCs w:val="28"/>
        </w:rPr>
      </w:pPr>
      <w:r w:rsidRPr="009E7347">
        <w:rPr>
          <w:sz w:val="28"/>
          <w:szCs w:val="28"/>
        </w:rPr>
        <w:t xml:space="preserve">Анализируя данные диаграммы </w:t>
      </w:r>
      <w:r>
        <w:rPr>
          <w:sz w:val="28"/>
          <w:szCs w:val="28"/>
        </w:rPr>
        <w:t>2</w:t>
      </w:r>
      <w:r w:rsidRPr="009E7347">
        <w:rPr>
          <w:sz w:val="28"/>
          <w:szCs w:val="28"/>
        </w:rPr>
        <w:t xml:space="preserve"> можно сделать вывод о том, что в</w:t>
      </w:r>
      <w:r>
        <w:rPr>
          <w:sz w:val="28"/>
          <w:szCs w:val="28"/>
        </w:rPr>
        <w:t xml:space="preserve">                            2020</w:t>
      </w:r>
      <w:r w:rsidRPr="009E7347">
        <w:rPr>
          <w:sz w:val="28"/>
          <w:szCs w:val="28"/>
        </w:rPr>
        <w:t xml:space="preserve"> году значительно увеличился объем заключенных контрактов по сравнению с предыдущим годом</w:t>
      </w:r>
      <w:r>
        <w:rPr>
          <w:sz w:val="28"/>
          <w:szCs w:val="28"/>
        </w:rPr>
        <w:t xml:space="preserve"> - на 40</w:t>
      </w:r>
      <w:r w:rsidRPr="009E7347">
        <w:rPr>
          <w:sz w:val="28"/>
          <w:szCs w:val="28"/>
        </w:rPr>
        <w:t>,9 %, рост которого произошел за счет контрактов, заключенных по результатам проведения электронных аукционов. Это об</w:t>
      </w:r>
      <w:r>
        <w:rPr>
          <w:sz w:val="28"/>
          <w:szCs w:val="28"/>
        </w:rPr>
        <w:t>условлено тем, что в 2020</w:t>
      </w:r>
      <w:r w:rsidRPr="009E7347">
        <w:rPr>
          <w:sz w:val="28"/>
          <w:szCs w:val="28"/>
        </w:rPr>
        <w:t xml:space="preserve"> году было осуществлено проведение ряда крупных закупок с высокими начальными (максимальными) ценами контрактов, а именно: </w:t>
      </w:r>
    </w:p>
    <w:p w14:paraId="195FCE92" w14:textId="77777777" w:rsidR="00D61EAE" w:rsidRPr="000A7F85" w:rsidRDefault="00D61EAE" w:rsidP="00D61EAE">
      <w:pPr>
        <w:pStyle w:val="ConsPlusTitle"/>
        <w:widowControl/>
        <w:ind w:firstLine="709"/>
        <w:jc w:val="both"/>
        <w:rPr>
          <w:rFonts w:ascii="Times New Roman" w:hAnsi="Times New Roman" w:cs="Times New Roman"/>
          <w:sz w:val="28"/>
          <w:szCs w:val="28"/>
        </w:rPr>
      </w:pPr>
      <w:r w:rsidRPr="000A7F85">
        <w:rPr>
          <w:rFonts w:ascii="Times New Roman" w:hAnsi="Times New Roman" w:cs="Times New Roman"/>
          <w:color w:val="000000"/>
          <w:sz w:val="28"/>
          <w:szCs w:val="28"/>
          <w:lang w:bidi="ru-RU"/>
        </w:rPr>
        <w:t xml:space="preserve">- </w:t>
      </w:r>
      <w:r w:rsidRPr="000A7F85">
        <w:rPr>
          <w:rFonts w:ascii="Times New Roman" w:hAnsi="Times New Roman" w:cs="Times New Roman"/>
          <w:sz w:val="28"/>
          <w:szCs w:val="28"/>
        </w:rPr>
        <w:t xml:space="preserve">строительство объекта: «Реконструкция водоводов 2 D600 мм, L=13 км от Бознянского водозабора до базы МП «Водоканал» г. Вязьма Смоленской области» с начальной (максимальной) ценой контракта </w:t>
      </w:r>
      <w:r w:rsidRPr="000A7F85">
        <w:rPr>
          <w:rFonts w:ascii="Times New Roman" w:hAnsi="Times New Roman" w:cs="Times New Roman"/>
          <w:sz w:val="28"/>
          <w:szCs w:val="28"/>
        </w:rPr>
        <w:br/>
        <w:t>204 992 925,00 руб.</w:t>
      </w:r>
    </w:p>
    <w:p w14:paraId="0B847622" w14:textId="04052E74" w:rsidR="00D61EAE" w:rsidRPr="00C96101" w:rsidRDefault="00227F9D" w:rsidP="00D61EAE">
      <w:pPr>
        <w:pStyle w:val="ConsPlusTitle"/>
        <w:widowControl/>
        <w:ind w:firstLine="709"/>
        <w:jc w:val="both"/>
        <w:rPr>
          <w:sz w:val="24"/>
          <w:szCs w:val="24"/>
        </w:rPr>
      </w:pPr>
      <w:r>
        <w:rPr>
          <w:rFonts w:ascii="Times New Roman" w:hAnsi="Times New Roman" w:cs="Times New Roman"/>
          <w:b w:val="0"/>
          <w:sz w:val="28"/>
          <w:szCs w:val="28"/>
        </w:rPr>
        <w:t>Отделом</w:t>
      </w:r>
      <w:r w:rsidR="00D61EAE" w:rsidRPr="00C96101">
        <w:rPr>
          <w:rFonts w:ascii="Times New Roman" w:hAnsi="Times New Roman" w:cs="Times New Roman"/>
          <w:b w:val="0"/>
          <w:sz w:val="28"/>
          <w:szCs w:val="28"/>
        </w:rPr>
        <w:t xml:space="preserve"> и в предыдущие годы проводилось множество конкурсных процедур по определению поставщиков (подрядчиков, исполнителей) для выполнение сложных работ по строительству,</w:t>
      </w:r>
      <w:r w:rsidR="00D61EAE">
        <w:rPr>
          <w:sz w:val="24"/>
          <w:szCs w:val="24"/>
        </w:rPr>
        <w:t xml:space="preserve"> </w:t>
      </w:r>
      <w:r w:rsidR="00D61EAE" w:rsidRPr="00C96101">
        <w:rPr>
          <w:rFonts w:ascii="Times New Roman" w:hAnsi="Times New Roman" w:cs="Times New Roman"/>
          <w:b w:val="0"/>
          <w:sz w:val="28"/>
          <w:szCs w:val="28"/>
        </w:rPr>
        <w:t>реконструкции, капитальному ремонту объектов капитального строительства</w:t>
      </w:r>
      <w:r w:rsidR="00D61EAE">
        <w:rPr>
          <w:rFonts w:ascii="Times New Roman" w:hAnsi="Times New Roman" w:cs="Times New Roman"/>
          <w:b w:val="0"/>
          <w:sz w:val="28"/>
          <w:szCs w:val="28"/>
        </w:rPr>
        <w:t>, но</w:t>
      </w:r>
      <w:r w:rsidR="00D61EAE">
        <w:rPr>
          <w:sz w:val="24"/>
          <w:szCs w:val="24"/>
        </w:rPr>
        <w:t xml:space="preserve"> з</w:t>
      </w:r>
      <w:r w:rsidR="00D61EAE" w:rsidRPr="00366749">
        <w:rPr>
          <w:rFonts w:ascii="Times New Roman" w:hAnsi="Times New Roman" w:cs="Times New Roman"/>
          <w:b w:val="0"/>
          <w:sz w:val="28"/>
          <w:szCs w:val="28"/>
        </w:rPr>
        <w:t xml:space="preserve">акупка с такой </w:t>
      </w:r>
      <w:r w:rsidR="00D61EAE">
        <w:rPr>
          <w:rFonts w:ascii="Times New Roman" w:hAnsi="Times New Roman" w:cs="Times New Roman"/>
          <w:b w:val="0"/>
          <w:sz w:val="28"/>
          <w:szCs w:val="28"/>
        </w:rPr>
        <w:t xml:space="preserve">большой </w:t>
      </w:r>
      <w:r w:rsidR="00D61EAE" w:rsidRPr="00366749">
        <w:rPr>
          <w:rFonts w:ascii="Times New Roman" w:hAnsi="Times New Roman" w:cs="Times New Roman"/>
          <w:b w:val="0"/>
          <w:sz w:val="28"/>
          <w:szCs w:val="28"/>
        </w:rPr>
        <w:t xml:space="preserve">начальной ценой проводилась </w:t>
      </w:r>
      <w:r w:rsidR="00710C16">
        <w:rPr>
          <w:rFonts w:ascii="Times New Roman" w:hAnsi="Times New Roman" w:cs="Times New Roman"/>
          <w:b w:val="0"/>
          <w:sz w:val="28"/>
          <w:szCs w:val="28"/>
        </w:rPr>
        <w:t>Отделом</w:t>
      </w:r>
      <w:r w:rsidR="00D61EAE" w:rsidRPr="00366749">
        <w:rPr>
          <w:rFonts w:ascii="Times New Roman" w:hAnsi="Times New Roman" w:cs="Times New Roman"/>
          <w:b w:val="0"/>
          <w:sz w:val="28"/>
          <w:szCs w:val="28"/>
        </w:rPr>
        <w:t xml:space="preserve"> впервые. </w:t>
      </w:r>
      <w:r w:rsidR="00D61EAE">
        <w:rPr>
          <w:rFonts w:ascii="Times New Roman" w:hAnsi="Times New Roman" w:cs="Times New Roman"/>
          <w:b w:val="0"/>
          <w:sz w:val="28"/>
          <w:szCs w:val="28"/>
        </w:rPr>
        <w:t>Специфика планируемых работ попала под определенные нормы законодательства о контрактной системе, необходимо</w:t>
      </w:r>
      <w:r w:rsidR="00D61EAE" w:rsidRPr="00366749">
        <w:rPr>
          <w:rFonts w:ascii="Times New Roman" w:hAnsi="Times New Roman" w:cs="Times New Roman"/>
          <w:b w:val="0"/>
          <w:sz w:val="28"/>
          <w:szCs w:val="28"/>
        </w:rPr>
        <w:t xml:space="preserve"> было устанавливать к участникам дополнительные требования, соответствие которым являлось одним из факторов, влияющих на победу в данном электронном аукционе. Кроме того, впервые применялась такая норма, как банковское сопровождение контракта. Все это необходимо было учесть </w:t>
      </w:r>
      <w:r w:rsidR="00D61EAE">
        <w:rPr>
          <w:rFonts w:ascii="Times New Roman" w:hAnsi="Times New Roman" w:cs="Times New Roman"/>
          <w:b w:val="0"/>
          <w:sz w:val="28"/>
          <w:szCs w:val="28"/>
        </w:rPr>
        <w:t>при размещении данной закупки.</w:t>
      </w:r>
    </w:p>
    <w:p w14:paraId="73B4A794" w14:textId="2C573B72" w:rsidR="00D61EAE" w:rsidRPr="00A67E4A" w:rsidRDefault="00D61EAE" w:rsidP="00D61EAE">
      <w:pPr>
        <w:pStyle w:val="ConsPlusTitle"/>
        <w:widowControl/>
        <w:ind w:firstLine="709"/>
        <w:jc w:val="both"/>
        <w:rPr>
          <w:rFonts w:ascii="Times New Roman" w:hAnsi="Times New Roman" w:cs="Times New Roman"/>
          <w:b w:val="0"/>
          <w:sz w:val="28"/>
          <w:szCs w:val="28"/>
        </w:rPr>
      </w:pPr>
      <w:r w:rsidRPr="00A67E4A">
        <w:rPr>
          <w:rFonts w:ascii="Times New Roman" w:hAnsi="Times New Roman" w:cs="Times New Roman"/>
          <w:b w:val="0"/>
          <w:sz w:val="28"/>
          <w:szCs w:val="28"/>
        </w:rPr>
        <w:t>Благо</w:t>
      </w:r>
      <w:r>
        <w:rPr>
          <w:rFonts w:ascii="Times New Roman" w:hAnsi="Times New Roman" w:cs="Times New Roman"/>
          <w:b w:val="0"/>
          <w:sz w:val="28"/>
          <w:szCs w:val="28"/>
        </w:rPr>
        <w:t>даря четко организованной работе</w:t>
      </w:r>
      <w:r w:rsidRPr="00A67E4A">
        <w:rPr>
          <w:rFonts w:ascii="Times New Roman" w:hAnsi="Times New Roman" w:cs="Times New Roman"/>
          <w:b w:val="0"/>
          <w:sz w:val="28"/>
          <w:szCs w:val="28"/>
        </w:rPr>
        <w:t xml:space="preserve">, профессионализму и умению четко </w:t>
      </w:r>
      <w:r>
        <w:rPr>
          <w:rFonts w:ascii="Times New Roman" w:hAnsi="Times New Roman" w:cs="Times New Roman"/>
          <w:b w:val="0"/>
          <w:sz w:val="28"/>
          <w:szCs w:val="28"/>
        </w:rPr>
        <w:t xml:space="preserve">соблюдать, </w:t>
      </w:r>
      <w:r w:rsidRPr="0049365C">
        <w:rPr>
          <w:rFonts w:ascii="Times New Roman" w:hAnsi="Times New Roman" w:cs="Times New Roman"/>
          <w:b w:val="0"/>
          <w:sz w:val="28"/>
          <w:szCs w:val="28"/>
        </w:rPr>
        <w:t>подстраиваться под</w:t>
      </w:r>
      <w:r w:rsidRPr="00A67E4A">
        <w:rPr>
          <w:rFonts w:ascii="Times New Roman" w:hAnsi="Times New Roman" w:cs="Times New Roman"/>
          <w:b w:val="0"/>
          <w:sz w:val="28"/>
          <w:szCs w:val="28"/>
        </w:rPr>
        <w:t xml:space="preserve"> часто изменяющееся законодательство о контрактной системе, данная закупка прошла в соответствии со всеми нормами и требованиями, без жалоб в Управление федеральной антимонопольной службы по Смоленской области.</w:t>
      </w:r>
    </w:p>
    <w:p w14:paraId="748DBF90" w14:textId="77777777" w:rsidR="00D61EAE" w:rsidRPr="00A67E4A" w:rsidRDefault="00D61EAE" w:rsidP="00D61EAE">
      <w:pPr>
        <w:pStyle w:val="ConsPlusTitle"/>
        <w:widowControl/>
        <w:ind w:firstLine="709"/>
        <w:jc w:val="both"/>
        <w:rPr>
          <w:rFonts w:ascii="Times New Roman" w:hAnsi="Times New Roman" w:cs="Times New Roman"/>
          <w:b w:val="0"/>
          <w:sz w:val="28"/>
          <w:szCs w:val="28"/>
        </w:rPr>
      </w:pPr>
      <w:r w:rsidRPr="00A67E4A">
        <w:rPr>
          <w:rFonts w:ascii="Times New Roman" w:hAnsi="Times New Roman" w:cs="Times New Roman"/>
          <w:b w:val="0"/>
          <w:sz w:val="28"/>
          <w:szCs w:val="28"/>
        </w:rPr>
        <w:t>Более того, экономия по итогам данного эле</w:t>
      </w:r>
      <w:r>
        <w:rPr>
          <w:rFonts w:ascii="Times New Roman" w:hAnsi="Times New Roman" w:cs="Times New Roman"/>
          <w:b w:val="0"/>
          <w:sz w:val="28"/>
          <w:szCs w:val="28"/>
        </w:rPr>
        <w:t xml:space="preserve">ктронного аукциона составила 42 </w:t>
      </w:r>
      <w:r w:rsidRPr="00A67E4A">
        <w:rPr>
          <w:rFonts w:ascii="Times New Roman" w:hAnsi="Times New Roman" w:cs="Times New Roman"/>
          <w:b w:val="0"/>
          <w:sz w:val="28"/>
          <w:szCs w:val="28"/>
        </w:rPr>
        <w:t xml:space="preserve">078,13 тыс. руб. </w:t>
      </w:r>
    </w:p>
    <w:p w14:paraId="7CFAFF9B" w14:textId="77777777" w:rsidR="00D61EAE" w:rsidRPr="00A67E4A" w:rsidRDefault="00D61EAE" w:rsidP="00D61EAE">
      <w:pPr>
        <w:pStyle w:val="ConsPlusTitle"/>
        <w:widowControl/>
        <w:ind w:firstLine="709"/>
        <w:jc w:val="both"/>
        <w:rPr>
          <w:rFonts w:ascii="Times New Roman" w:hAnsi="Times New Roman" w:cs="Times New Roman"/>
          <w:sz w:val="28"/>
          <w:szCs w:val="28"/>
        </w:rPr>
      </w:pPr>
      <w:r w:rsidRPr="00A67E4A">
        <w:rPr>
          <w:rFonts w:ascii="Times New Roman" w:hAnsi="Times New Roman" w:cs="Times New Roman"/>
          <w:b w:val="0"/>
          <w:sz w:val="28"/>
          <w:szCs w:val="28"/>
        </w:rPr>
        <w:t xml:space="preserve">- </w:t>
      </w:r>
      <w:r>
        <w:rPr>
          <w:rFonts w:ascii="Times New Roman" w:hAnsi="Times New Roman" w:cs="Times New Roman"/>
          <w:color w:val="000000"/>
          <w:sz w:val="28"/>
          <w:szCs w:val="28"/>
        </w:rPr>
        <w:t>к</w:t>
      </w:r>
      <w:r w:rsidRPr="00A67E4A">
        <w:rPr>
          <w:rFonts w:ascii="Times New Roman" w:hAnsi="Times New Roman" w:cs="Times New Roman"/>
          <w:color w:val="000000"/>
          <w:sz w:val="28"/>
          <w:szCs w:val="28"/>
        </w:rPr>
        <w:t>апитальный ремонт моста через р. Вязьма на ул. Комсомольская в г. В</w:t>
      </w:r>
      <w:r>
        <w:rPr>
          <w:rFonts w:ascii="Times New Roman" w:hAnsi="Times New Roman" w:cs="Times New Roman"/>
          <w:color w:val="000000"/>
          <w:sz w:val="28"/>
          <w:szCs w:val="28"/>
        </w:rPr>
        <w:t>язьма Смоленской области</w:t>
      </w:r>
      <w:r w:rsidRPr="00A67E4A">
        <w:rPr>
          <w:rFonts w:ascii="Times New Roman" w:hAnsi="Times New Roman" w:cs="Times New Roman"/>
          <w:color w:val="000000"/>
          <w:sz w:val="28"/>
          <w:szCs w:val="28"/>
        </w:rPr>
        <w:t xml:space="preserve"> с начальной (максимальной) ценой контракта </w:t>
      </w:r>
      <w:r>
        <w:rPr>
          <w:rFonts w:ascii="Times New Roman" w:hAnsi="Times New Roman" w:cs="Times New Roman"/>
          <w:sz w:val="28"/>
          <w:szCs w:val="28"/>
        </w:rPr>
        <w:t xml:space="preserve">129 863 </w:t>
      </w:r>
      <w:r w:rsidRPr="00A67E4A">
        <w:rPr>
          <w:rFonts w:ascii="Times New Roman" w:hAnsi="Times New Roman" w:cs="Times New Roman"/>
          <w:sz w:val="28"/>
          <w:szCs w:val="28"/>
        </w:rPr>
        <w:t>540,00 руб.</w:t>
      </w:r>
    </w:p>
    <w:p w14:paraId="0CCEB2AA" w14:textId="31E53B9D" w:rsidR="00640D3F" w:rsidRPr="00F2272A" w:rsidRDefault="00D61EAE" w:rsidP="00631D7E">
      <w:pPr>
        <w:tabs>
          <w:tab w:val="left" w:pos="567"/>
          <w:tab w:val="left" w:pos="851"/>
          <w:tab w:val="center" w:pos="2880"/>
        </w:tabs>
        <w:suppressAutoHyphens/>
        <w:ind w:firstLine="567"/>
        <w:jc w:val="both"/>
        <w:rPr>
          <w:sz w:val="28"/>
          <w:szCs w:val="28"/>
        </w:rPr>
      </w:pPr>
      <w:r>
        <w:rPr>
          <w:sz w:val="28"/>
          <w:szCs w:val="28"/>
        </w:rPr>
        <w:t>Данная закупка так</w:t>
      </w:r>
      <w:r w:rsidRPr="00A67E4A">
        <w:rPr>
          <w:sz w:val="28"/>
          <w:szCs w:val="28"/>
        </w:rPr>
        <w:t xml:space="preserve">же попала под дополнительные требования, по итогам был заключен муниципальный контракт сроком исполнения 2 года. Экономия составила </w:t>
      </w:r>
      <w:r>
        <w:rPr>
          <w:sz w:val="28"/>
          <w:szCs w:val="28"/>
        </w:rPr>
        <w:t xml:space="preserve">30 517 </w:t>
      </w:r>
      <w:r w:rsidRPr="00A67E4A">
        <w:rPr>
          <w:sz w:val="28"/>
          <w:szCs w:val="28"/>
        </w:rPr>
        <w:t>931,90 руб.</w:t>
      </w:r>
    </w:p>
    <w:p w14:paraId="7A1C3A8E" w14:textId="2B5466D7" w:rsidR="009F7308" w:rsidRDefault="00F2272A" w:rsidP="00F81610">
      <w:pPr>
        <w:jc w:val="both"/>
        <w:rPr>
          <w:color w:val="000000"/>
          <w:sz w:val="28"/>
          <w:szCs w:val="28"/>
          <w:lang w:bidi="ru-RU"/>
        </w:rPr>
      </w:pPr>
      <w:r w:rsidRPr="00F2272A">
        <w:rPr>
          <w:color w:val="000000"/>
          <w:sz w:val="28"/>
          <w:szCs w:val="28"/>
          <w:lang w:bidi="ru-RU"/>
        </w:rPr>
        <w:t xml:space="preserve">           Доли заключенных в 20</w:t>
      </w:r>
      <w:r w:rsidR="002E2A7B">
        <w:rPr>
          <w:color w:val="000000"/>
          <w:sz w:val="28"/>
          <w:szCs w:val="28"/>
          <w:lang w:bidi="ru-RU"/>
        </w:rPr>
        <w:t xml:space="preserve">20 </w:t>
      </w:r>
      <w:r w:rsidRPr="00F2272A">
        <w:rPr>
          <w:color w:val="000000"/>
          <w:sz w:val="28"/>
          <w:szCs w:val="28"/>
          <w:lang w:bidi="ru-RU"/>
        </w:rPr>
        <w:t xml:space="preserve">году муниципальных контрактов по способам определения поставщиков в процентном соотношении представлены </w:t>
      </w:r>
      <w:r w:rsidR="00631D7E">
        <w:rPr>
          <w:color w:val="000000"/>
          <w:sz w:val="28"/>
          <w:szCs w:val="28"/>
          <w:lang w:bidi="ru-RU"/>
        </w:rPr>
        <w:t>на диаграмме 3.</w:t>
      </w:r>
    </w:p>
    <w:p w14:paraId="730C1834" w14:textId="0BBD596C" w:rsidR="00631D7E" w:rsidRPr="00F81610" w:rsidRDefault="00631D7E" w:rsidP="00631D7E">
      <w:pPr>
        <w:pStyle w:val="20"/>
        <w:shd w:val="clear" w:color="auto" w:fill="auto"/>
        <w:tabs>
          <w:tab w:val="left" w:pos="1443"/>
        </w:tabs>
        <w:spacing w:before="0" w:line="331" w:lineRule="exact"/>
        <w:jc w:val="right"/>
        <w:rPr>
          <w:rFonts w:ascii="Times New Roman" w:hAnsi="Times New Roman"/>
          <w:color w:val="000000"/>
          <w:sz w:val="24"/>
          <w:szCs w:val="24"/>
          <w:lang w:eastAsia="ru-RU" w:bidi="ru-RU"/>
        </w:rPr>
      </w:pPr>
      <w:r w:rsidRPr="00F81610">
        <w:rPr>
          <w:rFonts w:ascii="Times New Roman" w:hAnsi="Times New Roman"/>
          <w:color w:val="000000"/>
          <w:sz w:val="24"/>
          <w:szCs w:val="24"/>
          <w:lang w:eastAsia="ru-RU" w:bidi="ru-RU"/>
        </w:rPr>
        <w:t xml:space="preserve">Диаграмма </w:t>
      </w:r>
      <w:r w:rsidR="005D7257" w:rsidRPr="00F81610">
        <w:rPr>
          <w:rFonts w:ascii="Times New Roman" w:hAnsi="Times New Roman"/>
          <w:color w:val="000000"/>
          <w:sz w:val="24"/>
          <w:szCs w:val="24"/>
          <w:lang w:eastAsia="ru-RU" w:bidi="ru-RU"/>
        </w:rPr>
        <w:t>3</w:t>
      </w:r>
    </w:p>
    <w:p w14:paraId="2D737575" w14:textId="2CBE8C8E" w:rsidR="00631D7E" w:rsidRDefault="00631D7E" w:rsidP="00631D7E">
      <w:pPr>
        <w:pStyle w:val="20"/>
        <w:shd w:val="clear" w:color="auto" w:fill="auto"/>
        <w:tabs>
          <w:tab w:val="left" w:pos="1443"/>
        </w:tabs>
        <w:spacing w:before="0" w:line="240" w:lineRule="auto"/>
        <w:rPr>
          <w:rFonts w:ascii="Times New Roman" w:hAnsi="Times New Roman"/>
          <w:color w:val="000000"/>
          <w:sz w:val="28"/>
          <w:szCs w:val="28"/>
          <w:lang w:eastAsia="ru-RU" w:bidi="ru-RU"/>
        </w:rPr>
      </w:pPr>
    </w:p>
    <w:p w14:paraId="4BB0B59B" w14:textId="77777777" w:rsidR="00A969F2" w:rsidRDefault="00A969F2" w:rsidP="00631D7E">
      <w:pPr>
        <w:pStyle w:val="20"/>
        <w:shd w:val="clear" w:color="auto" w:fill="auto"/>
        <w:tabs>
          <w:tab w:val="left" w:pos="1443"/>
        </w:tabs>
        <w:spacing w:before="0" w:line="240" w:lineRule="auto"/>
        <w:rPr>
          <w:rFonts w:ascii="Times New Roman" w:hAnsi="Times New Roman"/>
          <w:color w:val="000000"/>
          <w:sz w:val="28"/>
          <w:szCs w:val="28"/>
          <w:lang w:eastAsia="ru-RU" w:bidi="ru-RU"/>
        </w:rPr>
      </w:pPr>
      <w:r>
        <w:rPr>
          <w:noProof/>
          <w:color w:val="000000"/>
          <w:lang w:eastAsia="ru-RU"/>
        </w:rPr>
        <w:drawing>
          <wp:inline distT="0" distB="0" distL="0" distR="0" wp14:anchorId="34CBB934" wp14:editId="1D9D1ED6">
            <wp:extent cx="5867400" cy="20193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31D7E">
        <w:rPr>
          <w:rFonts w:ascii="Times New Roman" w:hAnsi="Times New Roman"/>
          <w:color w:val="000000"/>
          <w:sz w:val="28"/>
          <w:szCs w:val="28"/>
          <w:lang w:eastAsia="ru-RU" w:bidi="ru-RU"/>
        </w:rPr>
        <w:t xml:space="preserve">     </w:t>
      </w:r>
    </w:p>
    <w:p w14:paraId="4087C459" w14:textId="77777777" w:rsidR="00A969F2" w:rsidRDefault="00A969F2" w:rsidP="00631D7E">
      <w:pPr>
        <w:pStyle w:val="20"/>
        <w:shd w:val="clear" w:color="auto" w:fill="auto"/>
        <w:tabs>
          <w:tab w:val="left" w:pos="1443"/>
        </w:tabs>
        <w:spacing w:before="0" w:line="240" w:lineRule="auto"/>
        <w:rPr>
          <w:rFonts w:ascii="Times New Roman" w:hAnsi="Times New Roman"/>
          <w:color w:val="000000"/>
          <w:sz w:val="28"/>
          <w:szCs w:val="28"/>
          <w:lang w:eastAsia="ru-RU" w:bidi="ru-RU"/>
        </w:rPr>
      </w:pPr>
    </w:p>
    <w:p w14:paraId="416DCA8B" w14:textId="3961F1F4" w:rsidR="00631D7E" w:rsidRPr="00A969F2" w:rsidRDefault="005C3822" w:rsidP="00631D7E">
      <w:pPr>
        <w:pStyle w:val="20"/>
        <w:shd w:val="clear" w:color="auto" w:fill="auto"/>
        <w:tabs>
          <w:tab w:val="left" w:pos="1443"/>
        </w:tabs>
        <w:spacing w:before="0" w:line="240" w:lineRule="auto"/>
        <w:rPr>
          <w:rFonts w:ascii="Times New Roman" w:hAnsi="Times New Roman"/>
          <w:color w:val="000000"/>
          <w:sz w:val="28"/>
          <w:szCs w:val="28"/>
          <w:lang w:eastAsia="ru-RU" w:bidi="ru-RU"/>
        </w:rPr>
      </w:pPr>
      <w:r>
        <w:rPr>
          <w:rFonts w:ascii="Times New Roman" w:hAnsi="Times New Roman"/>
          <w:color w:val="000000"/>
          <w:sz w:val="28"/>
          <w:szCs w:val="28"/>
          <w:lang w:eastAsia="ru-RU" w:bidi="ru-RU"/>
        </w:rPr>
        <w:t xml:space="preserve">          </w:t>
      </w:r>
      <w:r w:rsidR="00631D7E" w:rsidRPr="00C96101">
        <w:rPr>
          <w:rFonts w:ascii="Times New Roman" w:hAnsi="Times New Roman"/>
          <w:color w:val="000000"/>
          <w:sz w:val="28"/>
          <w:szCs w:val="28"/>
          <w:lang w:eastAsia="ru-RU" w:bidi="ru-RU"/>
        </w:rPr>
        <w:t>В 2020 году, как и в предыдущие го</w:t>
      </w:r>
      <w:r w:rsidR="00631D7E">
        <w:rPr>
          <w:rFonts w:ascii="Times New Roman" w:hAnsi="Times New Roman"/>
          <w:color w:val="000000"/>
          <w:sz w:val="28"/>
          <w:szCs w:val="28"/>
          <w:lang w:eastAsia="ru-RU" w:bidi="ru-RU"/>
        </w:rPr>
        <w:t xml:space="preserve">ды, максимально осуществлялись </w:t>
      </w:r>
      <w:r w:rsidR="00631D7E" w:rsidRPr="00C96101">
        <w:rPr>
          <w:rFonts w:ascii="Times New Roman" w:hAnsi="Times New Roman"/>
          <w:color w:val="000000"/>
          <w:sz w:val="28"/>
          <w:szCs w:val="28"/>
          <w:lang w:eastAsia="ru-RU" w:bidi="ru-RU"/>
        </w:rPr>
        <w:t xml:space="preserve">закупки способом аукциона в электронной форме, который </w:t>
      </w:r>
      <w:r w:rsidR="00631D7E" w:rsidRPr="005C6D36">
        <w:rPr>
          <w:rFonts w:ascii="Times New Roman" w:hAnsi="Times New Roman"/>
          <w:color w:val="000000"/>
          <w:sz w:val="28"/>
          <w:szCs w:val="28"/>
          <w:lang w:eastAsia="ru-RU" w:bidi="ru-RU"/>
        </w:rPr>
        <w:t xml:space="preserve">является наиболее прозрачным и предпочтительным </w:t>
      </w:r>
      <w:r w:rsidR="00631D7E" w:rsidRPr="00C96101">
        <w:rPr>
          <w:rFonts w:ascii="Times New Roman" w:hAnsi="Times New Roman"/>
          <w:color w:val="000000"/>
          <w:sz w:val="28"/>
          <w:szCs w:val="28"/>
          <w:lang w:eastAsia="ru-RU" w:bidi="ru-RU"/>
        </w:rPr>
        <w:t>способом определения поставщиков (подрядчиков, исполнителей).</w:t>
      </w:r>
    </w:p>
    <w:p w14:paraId="2C000373" w14:textId="260C6A1F" w:rsidR="00631D7E" w:rsidRDefault="00631D7E" w:rsidP="00631D7E">
      <w:pPr>
        <w:pStyle w:val="20"/>
        <w:shd w:val="clear" w:color="auto" w:fill="auto"/>
        <w:spacing w:before="0" w:line="240" w:lineRule="auto"/>
        <w:ind w:firstLine="708"/>
        <w:rPr>
          <w:rFonts w:ascii="Times New Roman" w:hAnsi="Times New Roman"/>
          <w:color w:val="000000"/>
          <w:sz w:val="28"/>
          <w:szCs w:val="28"/>
          <w:lang w:eastAsia="ru-RU" w:bidi="ru-RU"/>
        </w:rPr>
      </w:pPr>
      <w:r w:rsidRPr="00C96101">
        <w:rPr>
          <w:rFonts w:ascii="Times New Roman" w:hAnsi="Times New Roman"/>
          <w:color w:val="000000"/>
          <w:sz w:val="28"/>
          <w:szCs w:val="28"/>
          <w:lang w:eastAsia="ru-RU" w:bidi="ru-RU"/>
        </w:rPr>
        <w:t xml:space="preserve">Доля заключенных муниципальных контрактов по итогам проведения аукционов в электронной форме составила </w:t>
      </w:r>
      <w:r w:rsidR="005C3822">
        <w:rPr>
          <w:rFonts w:ascii="Times New Roman" w:hAnsi="Times New Roman"/>
          <w:color w:val="000000"/>
          <w:sz w:val="28"/>
          <w:szCs w:val="28"/>
          <w:lang w:eastAsia="ru-RU" w:bidi="ru-RU"/>
        </w:rPr>
        <w:t>91</w:t>
      </w:r>
      <w:r w:rsidRPr="00C96101">
        <w:rPr>
          <w:rFonts w:ascii="Times New Roman" w:hAnsi="Times New Roman"/>
          <w:color w:val="000000"/>
          <w:sz w:val="28"/>
          <w:szCs w:val="28"/>
          <w:lang w:eastAsia="ru-RU" w:bidi="ru-RU"/>
        </w:rPr>
        <w:t>% от общего количества всех муниципальных</w:t>
      </w:r>
      <w:r>
        <w:rPr>
          <w:rFonts w:ascii="Times New Roman" w:hAnsi="Times New Roman"/>
          <w:color w:val="000000"/>
          <w:sz w:val="28"/>
          <w:szCs w:val="28"/>
          <w:lang w:eastAsia="ru-RU" w:bidi="ru-RU"/>
        </w:rPr>
        <w:t xml:space="preserve"> </w:t>
      </w:r>
      <w:r w:rsidRPr="00C96101">
        <w:rPr>
          <w:rFonts w:ascii="Times New Roman" w:hAnsi="Times New Roman"/>
          <w:color w:val="000000"/>
          <w:sz w:val="28"/>
          <w:szCs w:val="28"/>
          <w:lang w:eastAsia="ru-RU" w:bidi="ru-RU"/>
        </w:rPr>
        <w:t>контрактов</w:t>
      </w:r>
      <w:r>
        <w:rPr>
          <w:rFonts w:ascii="Times New Roman" w:hAnsi="Times New Roman"/>
          <w:color w:val="000000"/>
          <w:sz w:val="28"/>
          <w:szCs w:val="28"/>
          <w:lang w:eastAsia="ru-RU" w:bidi="ru-RU"/>
        </w:rPr>
        <w:t>,</w:t>
      </w:r>
      <w:r w:rsidRPr="00C96101">
        <w:rPr>
          <w:rFonts w:ascii="Times New Roman" w:hAnsi="Times New Roman"/>
          <w:color w:val="000000"/>
          <w:sz w:val="28"/>
          <w:szCs w:val="28"/>
          <w:lang w:eastAsia="ru-RU" w:bidi="ru-RU"/>
        </w:rPr>
        <w:t xml:space="preserve"> заключенных в 2020 году по итогам осуществления закупок.</w:t>
      </w:r>
    </w:p>
    <w:p w14:paraId="138ECAB0" w14:textId="55A1970E" w:rsidR="00AD0E11" w:rsidRDefault="00631D7E" w:rsidP="00AD0E11">
      <w:pPr>
        <w:autoSpaceDE w:val="0"/>
        <w:autoSpaceDN w:val="0"/>
        <w:adjustRightInd w:val="0"/>
        <w:ind w:firstLine="708"/>
        <w:jc w:val="both"/>
        <w:rPr>
          <w:sz w:val="28"/>
          <w:szCs w:val="28"/>
        </w:rPr>
      </w:pPr>
      <w:r w:rsidRPr="005677EB">
        <w:rPr>
          <w:sz w:val="28"/>
          <w:szCs w:val="28"/>
        </w:rPr>
        <w:t xml:space="preserve">Приоритетными направлениями муниципальных закупок </w:t>
      </w:r>
      <w:r w:rsidR="000C3540">
        <w:rPr>
          <w:sz w:val="28"/>
          <w:szCs w:val="28"/>
        </w:rPr>
        <w:t xml:space="preserve">из года в год </w:t>
      </w:r>
      <w:r w:rsidRPr="005677EB">
        <w:rPr>
          <w:sz w:val="28"/>
          <w:szCs w:val="28"/>
        </w:rPr>
        <w:t>являются приобретение жилых помещений (квартир) для отдельных категорий населения города, благоустройство города, проектирование, строительство и капитальный ремонт автомобильных дорог, социальных объектов.</w:t>
      </w:r>
    </w:p>
    <w:p w14:paraId="332CDFE9" w14:textId="77777777" w:rsidR="00657B64" w:rsidRDefault="00657B64" w:rsidP="00AD0E11">
      <w:pPr>
        <w:autoSpaceDE w:val="0"/>
        <w:autoSpaceDN w:val="0"/>
        <w:adjustRightInd w:val="0"/>
        <w:ind w:firstLine="708"/>
        <w:jc w:val="both"/>
        <w:rPr>
          <w:sz w:val="28"/>
          <w:szCs w:val="28"/>
        </w:rPr>
      </w:pPr>
    </w:p>
    <w:p w14:paraId="432B207D" w14:textId="091C2DF2" w:rsidR="00AD0E11" w:rsidRPr="00253B64" w:rsidRDefault="00657B64" w:rsidP="00253B64">
      <w:pPr>
        <w:autoSpaceDE w:val="0"/>
        <w:autoSpaceDN w:val="0"/>
        <w:adjustRightInd w:val="0"/>
        <w:ind w:firstLine="708"/>
        <w:jc w:val="center"/>
        <w:rPr>
          <w:b/>
          <w:sz w:val="28"/>
          <w:szCs w:val="28"/>
        </w:rPr>
      </w:pPr>
      <w:r>
        <w:rPr>
          <w:b/>
          <w:sz w:val="28"/>
          <w:szCs w:val="28"/>
        </w:rPr>
        <w:t>Закупки с применением п</w:t>
      </w:r>
      <w:r w:rsidRPr="001C665D">
        <w:rPr>
          <w:b/>
          <w:sz w:val="28"/>
          <w:szCs w:val="28"/>
        </w:rPr>
        <w:t>референци</w:t>
      </w:r>
      <w:r>
        <w:rPr>
          <w:b/>
          <w:sz w:val="28"/>
          <w:szCs w:val="28"/>
        </w:rPr>
        <w:t>й</w:t>
      </w:r>
      <w:r w:rsidRPr="001C665D">
        <w:rPr>
          <w:b/>
          <w:sz w:val="28"/>
          <w:szCs w:val="28"/>
        </w:rPr>
        <w:t xml:space="preserve"> для субъектов малого предпринимательства, </w:t>
      </w:r>
      <w:r>
        <w:rPr>
          <w:b/>
          <w:sz w:val="28"/>
          <w:szCs w:val="28"/>
        </w:rPr>
        <w:t>социально- ориентированных некоммерческих организаций</w:t>
      </w:r>
    </w:p>
    <w:p w14:paraId="09DABBBA" w14:textId="77777777" w:rsidR="00657B64" w:rsidRPr="00BC34D8" w:rsidRDefault="00657B64" w:rsidP="00657B64">
      <w:pPr>
        <w:autoSpaceDE w:val="0"/>
        <w:autoSpaceDN w:val="0"/>
        <w:adjustRightInd w:val="0"/>
        <w:ind w:firstLine="708"/>
        <w:jc w:val="both"/>
        <w:rPr>
          <w:sz w:val="28"/>
          <w:szCs w:val="28"/>
        </w:rPr>
      </w:pPr>
      <w:r w:rsidRPr="00780627">
        <w:rPr>
          <w:sz w:val="28"/>
          <w:szCs w:val="28"/>
        </w:rPr>
        <w:t xml:space="preserve">В целях расширения доступа субъектов малого предпринимательства, </w:t>
      </w:r>
      <w:r w:rsidRPr="00BC34D8">
        <w:rPr>
          <w:sz w:val="28"/>
          <w:szCs w:val="28"/>
        </w:rPr>
        <w:t xml:space="preserve">социально ориентированных некоммерческих организаций </w:t>
      </w:r>
      <w:r w:rsidRPr="0049365C">
        <w:rPr>
          <w:sz w:val="28"/>
          <w:szCs w:val="28"/>
        </w:rPr>
        <w:t>(СМП и СОНКО) к муниципальным закупкам данной категории участников предоставлены</w:t>
      </w:r>
      <w:r>
        <w:rPr>
          <w:sz w:val="28"/>
          <w:szCs w:val="28"/>
        </w:rPr>
        <w:t xml:space="preserve"> преференции -</w:t>
      </w:r>
      <w:r w:rsidRPr="00BC34D8">
        <w:rPr>
          <w:sz w:val="28"/>
          <w:szCs w:val="28"/>
        </w:rPr>
        <w:t xml:space="preserve"> в соответствии с ч. 1 ст. 30 Федерального закона №44</w:t>
      </w:r>
      <w:r>
        <w:rPr>
          <w:sz w:val="28"/>
          <w:szCs w:val="28"/>
        </w:rPr>
        <w:t xml:space="preserve"> - ФЗ</w:t>
      </w:r>
      <w:r w:rsidRPr="00BC34D8">
        <w:rPr>
          <w:sz w:val="28"/>
          <w:szCs w:val="28"/>
        </w:rPr>
        <w:t xml:space="preserve"> заказчики обязаны осуществить закупки </w:t>
      </w:r>
      <w:r w:rsidRPr="0049365C">
        <w:rPr>
          <w:sz w:val="28"/>
          <w:szCs w:val="28"/>
        </w:rPr>
        <w:t>у СМП, СОНКО</w:t>
      </w:r>
      <w:r w:rsidRPr="00BC34D8">
        <w:rPr>
          <w:sz w:val="28"/>
          <w:szCs w:val="28"/>
        </w:rPr>
        <w:t xml:space="preserve"> в размере не менее 15% совокупного годового объема конкурентных закупок.</w:t>
      </w:r>
    </w:p>
    <w:p w14:paraId="27608EB6" w14:textId="144DC3EC" w:rsidR="00657B64" w:rsidRPr="00F81610" w:rsidRDefault="00657B64" w:rsidP="00657B64">
      <w:pPr>
        <w:autoSpaceDE w:val="0"/>
        <w:autoSpaceDN w:val="0"/>
        <w:adjustRightInd w:val="0"/>
        <w:ind w:firstLine="708"/>
        <w:jc w:val="both"/>
        <w:rPr>
          <w:bCs/>
          <w:sz w:val="28"/>
          <w:szCs w:val="28"/>
        </w:rPr>
      </w:pPr>
      <w:r w:rsidRPr="00BC34D8">
        <w:rPr>
          <w:sz w:val="28"/>
          <w:szCs w:val="28"/>
        </w:rPr>
        <w:t xml:space="preserve">На основании данного норматива доля муниципальных закупок, осуществляемых у СМП, СОНКО в </w:t>
      </w:r>
      <w:r>
        <w:rPr>
          <w:sz w:val="28"/>
          <w:szCs w:val="28"/>
        </w:rPr>
        <w:t>В</w:t>
      </w:r>
      <w:r w:rsidRPr="00BC34D8">
        <w:rPr>
          <w:sz w:val="28"/>
          <w:szCs w:val="28"/>
        </w:rPr>
        <w:t xml:space="preserve">яземском районе ежегодно </w:t>
      </w:r>
      <w:r>
        <w:rPr>
          <w:sz w:val="28"/>
          <w:szCs w:val="28"/>
        </w:rPr>
        <w:t xml:space="preserve">превышает установленный законом минимум (диаграмма 4). </w:t>
      </w:r>
      <w:r w:rsidRPr="00F81610">
        <w:rPr>
          <w:bCs/>
          <w:sz w:val="28"/>
          <w:szCs w:val="28"/>
        </w:rPr>
        <w:t xml:space="preserve">Это безусловно </w:t>
      </w:r>
      <w:r w:rsidRPr="00F81610">
        <w:rPr>
          <w:b/>
          <w:sz w:val="28"/>
          <w:szCs w:val="28"/>
        </w:rPr>
        <w:t>является положительным показателем</w:t>
      </w:r>
      <w:r w:rsidRPr="00F81610">
        <w:rPr>
          <w:bCs/>
          <w:sz w:val="28"/>
          <w:szCs w:val="28"/>
        </w:rPr>
        <w:t>, ведь поддержка субъектов малого бизнеса является одним из направлений экономической политики Российской Федерации.</w:t>
      </w:r>
    </w:p>
    <w:p w14:paraId="557E0ACD" w14:textId="191B6286" w:rsidR="00657B64" w:rsidRPr="00253B64" w:rsidRDefault="00657B64" w:rsidP="00253B64">
      <w:pPr>
        <w:autoSpaceDE w:val="0"/>
        <w:autoSpaceDN w:val="0"/>
        <w:adjustRightInd w:val="0"/>
        <w:ind w:firstLine="708"/>
        <w:jc w:val="both"/>
        <w:rPr>
          <w:bCs/>
          <w:sz w:val="28"/>
          <w:szCs w:val="28"/>
        </w:rPr>
      </w:pPr>
      <w:r w:rsidRPr="00F81610">
        <w:rPr>
          <w:bCs/>
          <w:sz w:val="28"/>
          <w:szCs w:val="28"/>
        </w:rPr>
        <w:t>Так, в 2020 году муниципальными заказчиками Вяземского района с СМП и СОНКО было заключено муниципальных контрактов на сумму 245 177,74 руб.</w:t>
      </w:r>
      <w:r w:rsidR="00F81610">
        <w:rPr>
          <w:bCs/>
          <w:sz w:val="28"/>
          <w:szCs w:val="28"/>
        </w:rPr>
        <w:t>,</w:t>
      </w:r>
      <w:r w:rsidRPr="00F81610">
        <w:rPr>
          <w:bCs/>
          <w:sz w:val="28"/>
          <w:szCs w:val="28"/>
        </w:rPr>
        <w:t xml:space="preserve"> а именно</w:t>
      </w:r>
      <w:r>
        <w:rPr>
          <w:b/>
          <w:sz w:val="28"/>
          <w:szCs w:val="28"/>
        </w:rPr>
        <w:t xml:space="preserve"> 43,5 </w:t>
      </w:r>
      <w:r w:rsidRPr="00F81610">
        <w:rPr>
          <w:bCs/>
          <w:sz w:val="28"/>
          <w:szCs w:val="28"/>
        </w:rPr>
        <w:t>% от общего объема заключенных контрактов.</w:t>
      </w:r>
    </w:p>
    <w:p w14:paraId="13CE5FCD" w14:textId="422C0FBD" w:rsidR="00657B64" w:rsidRPr="00F81610" w:rsidRDefault="00657B64" w:rsidP="00657B64">
      <w:pPr>
        <w:autoSpaceDE w:val="0"/>
        <w:autoSpaceDN w:val="0"/>
        <w:adjustRightInd w:val="0"/>
        <w:ind w:firstLine="708"/>
        <w:jc w:val="right"/>
        <w:rPr>
          <w:bCs/>
        </w:rPr>
      </w:pPr>
      <w:r w:rsidRPr="00F81610">
        <w:rPr>
          <w:bCs/>
        </w:rPr>
        <w:t>Диаграмма 4</w:t>
      </w:r>
    </w:p>
    <w:p w14:paraId="598A5288" w14:textId="7541B33B" w:rsidR="005A5D11" w:rsidRPr="00F81610" w:rsidRDefault="00657B64" w:rsidP="00F81610">
      <w:pPr>
        <w:autoSpaceDE w:val="0"/>
        <w:autoSpaceDN w:val="0"/>
        <w:adjustRightInd w:val="0"/>
        <w:jc w:val="both"/>
        <w:rPr>
          <w:b/>
          <w:sz w:val="28"/>
          <w:szCs w:val="28"/>
        </w:rPr>
      </w:pPr>
      <w:r>
        <w:rPr>
          <w:noProof/>
          <w:sz w:val="28"/>
          <w:szCs w:val="28"/>
        </w:rPr>
        <w:drawing>
          <wp:inline distT="0" distB="0" distL="0" distR="0" wp14:anchorId="18FA1C54" wp14:editId="16131175">
            <wp:extent cx="6172200" cy="25717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C082F" w14:textId="77777777" w:rsidR="005A5D11" w:rsidRDefault="005A5D11" w:rsidP="00AD0E11">
      <w:pPr>
        <w:autoSpaceDE w:val="0"/>
        <w:autoSpaceDN w:val="0"/>
        <w:adjustRightInd w:val="0"/>
        <w:ind w:firstLine="708"/>
        <w:jc w:val="center"/>
        <w:rPr>
          <w:b/>
          <w:bCs/>
          <w:color w:val="000000"/>
          <w:sz w:val="28"/>
          <w:szCs w:val="28"/>
          <w:lang w:bidi="ru-RU"/>
        </w:rPr>
      </w:pPr>
    </w:p>
    <w:p w14:paraId="1804771E" w14:textId="05FD815C" w:rsidR="00AD0E11" w:rsidRDefault="00AD0E11" w:rsidP="00AD0E11">
      <w:pPr>
        <w:autoSpaceDE w:val="0"/>
        <w:autoSpaceDN w:val="0"/>
        <w:adjustRightInd w:val="0"/>
        <w:ind w:firstLine="708"/>
        <w:jc w:val="center"/>
        <w:rPr>
          <w:b/>
          <w:bCs/>
          <w:color w:val="000000"/>
          <w:sz w:val="28"/>
          <w:szCs w:val="28"/>
          <w:lang w:bidi="ru-RU"/>
        </w:rPr>
      </w:pPr>
      <w:r w:rsidRPr="00AD0E11">
        <w:rPr>
          <w:b/>
          <w:bCs/>
          <w:color w:val="000000"/>
          <w:sz w:val="28"/>
          <w:szCs w:val="28"/>
          <w:lang w:bidi="ru-RU"/>
        </w:rPr>
        <w:t>Экономия бюджетных средств</w:t>
      </w:r>
    </w:p>
    <w:p w14:paraId="69586489" w14:textId="77777777" w:rsidR="00822B31" w:rsidRPr="00AD0E11" w:rsidRDefault="00822B31" w:rsidP="00AD0E11">
      <w:pPr>
        <w:autoSpaceDE w:val="0"/>
        <w:autoSpaceDN w:val="0"/>
        <w:adjustRightInd w:val="0"/>
        <w:ind w:firstLine="708"/>
        <w:jc w:val="center"/>
        <w:rPr>
          <w:b/>
          <w:bCs/>
          <w:color w:val="000000"/>
          <w:sz w:val="28"/>
          <w:szCs w:val="28"/>
          <w:lang w:bidi="ru-RU"/>
        </w:rPr>
      </w:pPr>
    </w:p>
    <w:p w14:paraId="44D29C47" w14:textId="506B0DFA" w:rsidR="00822B31" w:rsidRDefault="00822B31" w:rsidP="00822B31">
      <w:pPr>
        <w:autoSpaceDE w:val="0"/>
        <w:autoSpaceDN w:val="0"/>
        <w:adjustRightInd w:val="0"/>
        <w:ind w:firstLine="708"/>
        <w:jc w:val="both"/>
        <w:rPr>
          <w:sz w:val="28"/>
          <w:szCs w:val="28"/>
        </w:rPr>
      </w:pPr>
      <w:r w:rsidRPr="00822B31">
        <w:rPr>
          <w:sz w:val="28"/>
          <w:szCs w:val="28"/>
        </w:rPr>
        <w:t xml:space="preserve">Экономия в закупках — это </w:t>
      </w:r>
      <w:r>
        <w:rPr>
          <w:sz w:val="28"/>
          <w:szCs w:val="28"/>
        </w:rPr>
        <w:t>бюджетные средства</w:t>
      </w:r>
      <w:r w:rsidRPr="00822B31">
        <w:rPr>
          <w:sz w:val="28"/>
          <w:szCs w:val="28"/>
        </w:rPr>
        <w:t xml:space="preserve">, которые остались у заказчика в </w:t>
      </w:r>
      <w:r>
        <w:rPr>
          <w:sz w:val="28"/>
          <w:szCs w:val="28"/>
        </w:rPr>
        <w:t xml:space="preserve">связи с конкуренцией на торгах. </w:t>
      </w:r>
      <w:r w:rsidR="00E2022B" w:rsidRPr="00822B31">
        <w:rPr>
          <w:sz w:val="28"/>
          <w:szCs w:val="28"/>
        </w:rPr>
        <w:t xml:space="preserve">   </w:t>
      </w:r>
      <w:r w:rsidR="00FF76FC">
        <w:rPr>
          <w:sz w:val="28"/>
          <w:szCs w:val="28"/>
        </w:rPr>
        <w:t xml:space="preserve">Она является одним из важнейших </w:t>
      </w:r>
      <w:r w:rsidR="00FF76FC" w:rsidRPr="004F08B6">
        <w:rPr>
          <w:sz w:val="28"/>
          <w:szCs w:val="28"/>
        </w:rPr>
        <w:t xml:space="preserve"> показателей эффективности проведения конкурентных закупок</w:t>
      </w:r>
      <w:r w:rsidR="00FF76FC">
        <w:rPr>
          <w:sz w:val="28"/>
          <w:szCs w:val="28"/>
        </w:rPr>
        <w:t>.</w:t>
      </w:r>
    </w:p>
    <w:p w14:paraId="3603FE32" w14:textId="0279CC82" w:rsidR="00FF76FC" w:rsidRPr="00822B31" w:rsidRDefault="00FF76FC" w:rsidP="00E47FB3">
      <w:pPr>
        <w:pStyle w:val="20"/>
        <w:shd w:val="clear" w:color="auto" w:fill="auto"/>
        <w:spacing w:before="0" w:line="240" w:lineRule="auto"/>
        <w:ind w:firstLine="760"/>
        <w:rPr>
          <w:rFonts w:ascii="Times New Roman" w:hAnsi="Times New Roman"/>
          <w:sz w:val="28"/>
          <w:szCs w:val="28"/>
        </w:rPr>
      </w:pPr>
      <w:r w:rsidRPr="00E47FB3">
        <w:rPr>
          <w:rFonts w:ascii="Times New Roman" w:hAnsi="Times New Roman"/>
          <w:sz w:val="28"/>
          <w:szCs w:val="28"/>
        </w:rPr>
        <w:t xml:space="preserve">В 2020 году расчетная (условная) экономия бюджетных средств по результатам торгов составила 110 310 ,70 тыс. руб. или </w:t>
      </w:r>
      <w:r w:rsidR="00EA454B" w:rsidRPr="00E47FB3">
        <w:rPr>
          <w:rFonts w:ascii="Times New Roman" w:hAnsi="Times New Roman"/>
          <w:sz w:val="28"/>
          <w:szCs w:val="28"/>
        </w:rPr>
        <w:t>14,7</w:t>
      </w:r>
      <w:r w:rsidRPr="00E47FB3">
        <w:rPr>
          <w:rFonts w:ascii="Times New Roman" w:hAnsi="Times New Roman"/>
          <w:sz w:val="28"/>
          <w:szCs w:val="28"/>
        </w:rPr>
        <w:t xml:space="preserve"> %, в том числе: бюджет муниципального образования «Вяземский район» – </w:t>
      </w:r>
      <w:r w:rsidR="00E47FB3" w:rsidRPr="00E47FB3">
        <w:rPr>
          <w:rFonts w:ascii="Times New Roman" w:hAnsi="Times New Roman"/>
          <w:sz w:val="28"/>
          <w:szCs w:val="28"/>
        </w:rPr>
        <w:t>20 667, 56</w:t>
      </w:r>
      <w:r w:rsidRPr="00E47FB3">
        <w:rPr>
          <w:rFonts w:ascii="Times New Roman" w:hAnsi="Times New Roman"/>
          <w:sz w:val="28"/>
          <w:szCs w:val="28"/>
        </w:rPr>
        <w:t xml:space="preserve"> </w:t>
      </w:r>
      <w:r w:rsidR="00E47FB3" w:rsidRPr="00E47FB3">
        <w:rPr>
          <w:rFonts w:ascii="Times New Roman" w:hAnsi="Times New Roman"/>
          <w:sz w:val="28"/>
          <w:szCs w:val="28"/>
        </w:rPr>
        <w:t xml:space="preserve">тыс. </w:t>
      </w:r>
      <w:r w:rsidRPr="00E47FB3">
        <w:rPr>
          <w:rFonts w:ascii="Times New Roman" w:hAnsi="Times New Roman"/>
          <w:sz w:val="28"/>
          <w:szCs w:val="28"/>
        </w:rPr>
        <w:t xml:space="preserve">руб.; бюджет Вяземского городского поселения – </w:t>
      </w:r>
      <w:r w:rsidR="00E47FB3" w:rsidRPr="00E47FB3">
        <w:rPr>
          <w:rFonts w:ascii="Times New Roman" w:hAnsi="Times New Roman"/>
          <w:sz w:val="28"/>
          <w:szCs w:val="28"/>
        </w:rPr>
        <w:t xml:space="preserve">89 643,13 тыс. </w:t>
      </w:r>
      <w:r w:rsidRPr="00E47FB3">
        <w:rPr>
          <w:rFonts w:ascii="Times New Roman" w:hAnsi="Times New Roman"/>
          <w:sz w:val="28"/>
          <w:szCs w:val="28"/>
        </w:rPr>
        <w:t>руб. (Приложение №</w:t>
      </w:r>
      <w:r w:rsidR="00E47FB3" w:rsidRPr="00E47FB3">
        <w:rPr>
          <w:rFonts w:ascii="Times New Roman" w:hAnsi="Times New Roman"/>
          <w:sz w:val="28"/>
          <w:szCs w:val="28"/>
        </w:rPr>
        <w:t>1</w:t>
      </w:r>
      <w:r w:rsidRPr="00E47FB3">
        <w:rPr>
          <w:rFonts w:ascii="Times New Roman" w:hAnsi="Times New Roman"/>
          <w:sz w:val="28"/>
          <w:szCs w:val="28"/>
        </w:rPr>
        <w:t>)</w:t>
      </w:r>
      <w:r w:rsidR="00E47FB3">
        <w:rPr>
          <w:rFonts w:ascii="Times New Roman" w:hAnsi="Times New Roman"/>
          <w:sz w:val="28"/>
          <w:szCs w:val="28"/>
        </w:rPr>
        <w:t>.</w:t>
      </w:r>
    </w:p>
    <w:p w14:paraId="3090C034" w14:textId="64A59960" w:rsidR="009C70F3" w:rsidRPr="009E7347" w:rsidRDefault="00E2022B" w:rsidP="00E2022B">
      <w:pPr>
        <w:autoSpaceDE w:val="0"/>
        <w:autoSpaceDN w:val="0"/>
        <w:adjustRightInd w:val="0"/>
        <w:jc w:val="both"/>
        <w:rPr>
          <w:sz w:val="28"/>
          <w:szCs w:val="28"/>
        </w:rPr>
      </w:pPr>
      <w:r>
        <w:rPr>
          <w:sz w:val="28"/>
          <w:szCs w:val="28"/>
        </w:rPr>
        <w:t xml:space="preserve">  </w:t>
      </w:r>
      <w:r w:rsidR="00E47FB3">
        <w:rPr>
          <w:sz w:val="28"/>
          <w:szCs w:val="28"/>
        </w:rPr>
        <w:tab/>
      </w:r>
      <w:r w:rsidR="009C70F3" w:rsidRPr="009E7347">
        <w:rPr>
          <w:sz w:val="28"/>
          <w:szCs w:val="28"/>
        </w:rPr>
        <w:t xml:space="preserve">Экономия, образовавшаяся в результате проведения закупок </w:t>
      </w:r>
      <w:r w:rsidR="009C70F3" w:rsidRPr="00E47FB3">
        <w:rPr>
          <w:b/>
          <w:bCs/>
          <w:sz w:val="28"/>
          <w:szCs w:val="28"/>
        </w:rPr>
        <w:t>для нужд муниципальных заказчиков района</w:t>
      </w:r>
      <w:r w:rsidR="00E47FB3">
        <w:rPr>
          <w:b/>
          <w:bCs/>
          <w:sz w:val="28"/>
          <w:szCs w:val="28"/>
        </w:rPr>
        <w:t xml:space="preserve"> </w:t>
      </w:r>
      <w:r w:rsidR="00E47FB3" w:rsidRPr="00E47FB3">
        <w:rPr>
          <w:sz w:val="28"/>
          <w:szCs w:val="28"/>
        </w:rPr>
        <w:t>(учреждения образования, культуры и т.д.)</w:t>
      </w:r>
      <w:r w:rsidR="009C70F3" w:rsidRPr="009E7347">
        <w:rPr>
          <w:sz w:val="28"/>
          <w:szCs w:val="28"/>
        </w:rPr>
        <w:t xml:space="preserve">, </w:t>
      </w:r>
      <w:r w:rsidR="009C70F3">
        <w:rPr>
          <w:sz w:val="28"/>
          <w:szCs w:val="28"/>
        </w:rPr>
        <w:t>составила 8</w:t>
      </w:r>
      <w:r w:rsidR="00E47FB3">
        <w:rPr>
          <w:sz w:val="28"/>
          <w:szCs w:val="28"/>
        </w:rPr>
        <w:t> </w:t>
      </w:r>
      <w:r w:rsidR="009C70F3">
        <w:rPr>
          <w:sz w:val="28"/>
          <w:szCs w:val="28"/>
        </w:rPr>
        <w:t>432</w:t>
      </w:r>
      <w:r w:rsidR="00E47FB3">
        <w:rPr>
          <w:sz w:val="28"/>
          <w:szCs w:val="28"/>
        </w:rPr>
        <w:t xml:space="preserve">, 42 тыс. </w:t>
      </w:r>
      <w:r w:rsidR="009C70F3">
        <w:rPr>
          <w:sz w:val="28"/>
          <w:szCs w:val="28"/>
        </w:rPr>
        <w:t>руб. – 1</w:t>
      </w:r>
      <w:r w:rsidR="00E47FB3">
        <w:rPr>
          <w:sz w:val="28"/>
          <w:szCs w:val="28"/>
        </w:rPr>
        <w:t>0</w:t>
      </w:r>
      <w:r w:rsidR="009C70F3">
        <w:rPr>
          <w:sz w:val="28"/>
          <w:szCs w:val="28"/>
        </w:rPr>
        <w:t>,</w:t>
      </w:r>
      <w:r w:rsidR="00E47FB3">
        <w:rPr>
          <w:sz w:val="28"/>
          <w:szCs w:val="28"/>
        </w:rPr>
        <w:t>6</w:t>
      </w:r>
      <w:r w:rsidR="009C70F3" w:rsidRPr="009E7347">
        <w:rPr>
          <w:sz w:val="28"/>
          <w:szCs w:val="28"/>
        </w:rPr>
        <w:t xml:space="preserve"> % и</w:t>
      </w:r>
      <w:r>
        <w:rPr>
          <w:sz w:val="28"/>
          <w:szCs w:val="28"/>
        </w:rPr>
        <w:t xml:space="preserve"> </w:t>
      </w:r>
      <w:r w:rsidR="009C70F3" w:rsidRPr="009E7347">
        <w:rPr>
          <w:sz w:val="28"/>
          <w:szCs w:val="28"/>
        </w:rPr>
        <w:t>имеет следующую структуру:</w:t>
      </w:r>
    </w:p>
    <w:p w14:paraId="3C2A5AD7" w14:textId="77777777" w:rsidR="009C70F3" w:rsidRPr="009E7347" w:rsidRDefault="009C70F3" w:rsidP="009C70F3">
      <w:pPr>
        <w:ind w:firstLine="708"/>
        <w:jc w:val="both"/>
        <w:rPr>
          <w:sz w:val="28"/>
          <w:szCs w:val="28"/>
        </w:rPr>
      </w:pPr>
      <w:r w:rsidRPr="009E7347">
        <w:rPr>
          <w:sz w:val="28"/>
          <w:szCs w:val="28"/>
        </w:rPr>
        <w:t xml:space="preserve">- закупки для нужд учреждений культуры – </w:t>
      </w:r>
      <w:r>
        <w:rPr>
          <w:sz w:val="28"/>
          <w:szCs w:val="28"/>
        </w:rPr>
        <w:t>1</w:t>
      </w:r>
      <w:r w:rsidRPr="002A5203">
        <w:rPr>
          <w:sz w:val="28"/>
          <w:szCs w:val="28"/>
        </w:rPr>
        <w:t xml:space="preserve"> </w:t>
      </w:r>
      <w:r>
        <w:rPr>
          <w:sz w:val="28"/>
          <w:szCs w:val="28"/>
        </w:rPr>
        <w:t>929 596,0</w:t>
      </w:r>
      <w:r w:rsidRPr="009E7347">
        <w:rPr>
          <w:sz w:val="28"/>
          <w:szCs w:val="28"/>
        </w:rPr>
        <w:t xml:space="preserve"> руб.;</w:t>
      </w:r>
    </w:p>
    <w:p w14:paraId="3FEBBCAD" w14:textId="77777777" w:rsidR="009C70F3" w:rsidRPr="009E7347" w:rsidRDefault="009C70F3" w:rsidP="009C70F3">
      <w:pPr>
        <w:ind w:firstLine="708"/>
        <w:jc w:val="both"/>
        <w:rPr>
          <w:sz w:val="28"/>
          <w:szCs w:val="28"/>
        </w:rPr>
      </w:pPr>
      <w:r w:rsidRPr="009E7347">
        <w:rPr>
          <w:sz w:val="28"/>
          <w:szCs w:val="28"/>
        </w:rPr>
        <w:t xml:space="preserve">- закупки для нужд образовательных учреждений – </w:t>
      </w:r>
      <w:r>
        <w:rPr>
          <w:sz w:val="28"/>
          <w:szCs w:val="28"/>
        </w:rPr>
        <w:t>4 710</w:t>
      </w:r>
      <w:r w:rsidRPr="002A5203">
        <w:rPr>
          <w:sz w:val="28"/>
          <w:szCs w:val="28"/>
        </w:rPr>
        <w:t xml:space="preserve"> </w:t>
      </w:r>
      <w:r>
        <w:rPr>
          <w:sz w:val="28"/>
          <w:szCs w:val="28"/>
        </w:rPr>
        <w:t>952,0 руб.</w:t>
      </w:r>
      <w:r w:rsidRPr="009E7347">
        <w:rPr>
          <w:sz w:val="28"/>
          <w:szCs w:val="28"/>
        </w:rPr>
        <w:t>;</w:t>
      </w:r>
    </w:p>
    <w:p w14:paraId="51B21921" w14:textId="77777777" w:rsidR="009C70F3" w:rsidRPr="009E7347" w:rsidRDefault="009C70F3" w:rsidP="009C70F3">
      <w:pPr>
        <w:ind w:firstLine="708"/>
        <w:jc w:val="both"/>
        <w:rPr>
          <w:sz w:val="28"/>
          <w:szCs w:val="28"/>
        </w:rPr>
      </w:pPr>
      <w:r w:rsidRPr="009E7347">
        <w:rPr>
          <w:sz w:val="28"/>
          <w:szCs w:val="28"/>
        </w:rPr>
        <w:t xml:space="preserve">- закупки для нужд учреждений ЖКХ – </w:t>
      </w:r>
      <w:r>
        <w:rPr>
          <w:sz w:val="28"/>
          <w:szCs w:val="28"/>
        </w:rPr>
        <w:t>700 418,00</w:t>
      </w:r>
      <w:r w:rsidRPr="009E7347">
        <w:rPr>
          <w:sz w:val="28"/>
          <w:szCs w:val="28"/>
        </w:rPr>
        <w:t xml:space="preserve"> руб.</w:t>
      </w:r>
      <w:r>
        <w:rPr>
          <w:sz w:val="28"/>
          <w:szCs w:val="28"/>
        </w:rPr>
        <w:t>;</w:t>
      </w:r>
    </w:p>
    <w:p w14:paraId="387AF07D" w14:textId="77777777" w:rsidR="009C70F3" w:rsidRPr="009E7347" w:rsidRDefault="009C70F3" w:rsidP="009C70F3">
      <w:pPr>
        <w:ind w:firstLine="708"/>
        <w:jc w:val="both"/>
        <w:rPr>
          <w:sz w:val="28"/>
          <w:szCs w:val="28"/>
        </w:rPr>
      </w:pPr>
      <w:r w:rsidRPr="009E7347">
        <w:rPr>
          <w:sz w:val="28"/>
          <w:szCs w:val="28"/>
        </w:rPr>
        <w:t xml:space="preserve">- прочие – </w:t>
      </w:r>
      <w:r>
        <w:rPr>
          <w:sz w:val="28"/>
          <w:szCs w:val="28"/>
        </w:rPr>
        <w:t>1 091 454</w:t>
      </w:r>
      <w:r w:rsidRPr="009E7347">
        <w:rPr>
          <w:sz w:val="28"/>
          <w:szCs w:val="28"/>
        </w:rPr>
        <w:t>,00 руб.</w:t>
      </w:r>
    </w:p>
    <w:p w14:paraId="5F68BBA8" w14:textId="77777777" w:rsidR="009C70F3" w:rsidRPr="002E660A" w:rsidRDefault="009C70F3" w:rsidP="009C70F3">
      <w:pPr>
        <w:ind w:firstLine="708"/>
        <w:jc w:val="both"/>
        <w:rPr>
          <w:sz w:val="28"/>
          <w:szCs w:val="28"/>
        </w:rPr>
      </w:pPr>
      <w:r w:rsidRPr="009E7347">
        <w:rPr>
          <w:sz w:val="28"/>
          <w:szCs w:val="28"/>
        </w:rPr>
        <w:t>Структура эко</w:t>
      </w:r>
      <w:r>
        <w:rPr>
          <w:sz w:val="28"/>
          <w:szCs w:val="28"/>
        </w:rPr>
        <w:t xml:space="preserve">номии муниципальных заказчиков, полученной в результате проведения </w:t>
      </w:r>
      <w:r w:rsidRPr="009E7347">
        <w:rPr>
          <w:sz w:val="28"/>
          <w:szCs w:val="28"/>
        </w:rPr>
        <w:t xml:space="preserve">конкурсных процедур </w:t>
      </w:r>
      <w:r>
        <w:rPr>
          <w:sz w:val="28"/>
          <w:szCs w:val="28"/>
        </w:rPr>
        <w:t>представлена в диаграмме 2</w:t>
      </w:r>
      <w:r w:rsidRPr="009E7347">
        <w:rPr>
          <w:sz w:val="28"/>
          <w:szCs w:val="28"/>
        </w:rPr>
        <w:t>.</w:t>
      </w:r>
    </w:p>
    <w:p w14:paraId="4FF40A7A" w14:textId="77777777" w:rsidR="009C70F3" w:rsidRDefault="009C70F3" w:rsidP="009C70F3">
      <w:pPr>
        <w:ind w:firstLine="708"/>
        <w:jc w:val="right"/>
      </w:pPr>
    </w:p>
    <w:p w14:paraId="6042BA1E" w14:textId="4DF48DF6" w:rsidR="009C70F3" w:rsidRPr="00723880" w:rsidRDefault="009C70F3" w:rsidP="009C70F3">
      <w:pPr>
        <w:ind w:firstLine="708"/>
        <w:jc w:val="right"/>
      </w:pPr>
      <w:r>
        <w:t xml:space="preserve">Диаграмма </w:t>
      </w:r>
      <w:r w:rsidR="00F81610">
        <w:t>5</w:t>
      </w:r>
    </w:p>
    <w:p w14:paraId="7AEAFBE5" w14:textId="77777777" w:rsidR="009C70F3" w:rsidRPr="002279FB" w:rsidRDefault="009C70F3" w:rsidP="0088240F">
      <w:pPr>
        <w:jc w:val="both"/>
        <w:rPr>
          <w:sz w:val="28"/>
          <w:szCs w:val="28"/>
        </w:rPr>
      </w:pPr>
      <w:r w:rsidRPr="00292A62">
        <w:rPr>
          <w:b/>
          <w:noProof/>
          <w:sz w:val="28"/>
          <w:szCs w:val="28"/>
        </w:rPr>
        <w:drawing>
          <wp:inline distT="0" distB="0" distL="0" distR="0" wp14:anchorId="7D763BC0" wp14:editId="7F63295F">
            <wp:extent cx="5972175" cy="26574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CE68B8" w14:textId="77777777" w:rsidR="009C70F3" w:rsidRDefault="009C70F3" w:rsidP="009C70F3">
      <w:pPr>
        <w:pStyle w:val="20"/>
        <w:shd w:val="clear" w:color="auto" w:fill="auto"/>
        <w:spacing w:before="0" w:line="240" w:lineRule="auto"/>
        <w:ind w:firstLine="760"/>
        <w:rPr>
          <w:rFonts w:ascii="Times New Roman" w:hAnsi="Times New Roman"/>
          <w:sz w:val="28"/>
          <w:szCs w:val="28"/>
        </w:rPr>
      </w:pPr>
      <w:r>
        <w:rPr>
          <w:rFonts w:ascii="Times New Roman" w:hAnsi="Times New Roman"/>
          <w:sz w:val="28"/>
          <w:szCs w:val="28"/>
        </w:rPr>
        <w:t>Как можно заметить, что наибольшая экономия была достигнута при проведении конкурсных процедур для учреждений культуры и образования.</w:t>
      </w:r>
    </w:p>
    <w:p w14:paraId="40941D4E" w14:textId="78B582E6" w:rsidR="009C70F3" w:rsidRDefault="009C70F3" w:rsidP="009C70F3">
      <w:pPr>
        <w:ind w:firstLine="708"/>
        <w:jc w:val="both"/>
        <w:rPr>
          <w:sz w:val="28"/>
          <w:szCs w:val="28"/>
        </w:rPr>
      </w:pPr>
      <w:r w:rsidRPr="004A2E3F">
        <w:rPr>
          <w:sz w:val="28"/>
          <w:szCs w:val="28"/>
        </w:rPr>
        <w:t xml:space="preserve">Наряду с проведением работы по определению поставщиков (подрядчиков, исполнителей) для заказчиков района, проводятся обучающие семинары, </w:t>
      </w:r>
      <w:r>
        <w:rPr>
          <w:sz w:val="28"/>
          <w:szCs w:val="28"/>
        </w:rPr>
        <w:t>осуществляется консультативная</w:t>
      </w:r>
      <w:r w:rsidRPr="00A67E4A">
        <w:rPr>
          <w:sz w:val="28"/>
          <w:szCs w:val="28"/>
        </w:rPr>
        <w:t xml:space="preserve"> и практическая помощь по вопросам применений законодательства в сфере закупок, оказывается техническая поддержка учреждениям и сельским поселениям.</w:t>
      </w:r>
    </w:p>
    <w:p w14:paraId="4BA93B92" w14:textId="326121D6" w:rsidR="00A41760" w:rsidRDefault="00A41760" w:rsidP="00A41760">
      <w:pPr>
        <w:ind w:firstLine="708"/>
        <w:jc w:val="both"/>
        <w:rPr>
          <w:sz w:val="28"/>
          <w:szCs w:val="28"/>
        </w:rPr>
      </w:pPr>
      <w:r w:rsidRPr="009E7347">
        <w:rPr>
          <w:sz w:val="28"/>
          <w:szCs w:val="28"/>
        </w:rPr>
        <w:t>Структура экономии бюджетных средств в 20</w:t>
      </w:r>
      <w:r>
        <w:rPr>
          <w:sz w:val="28"/>
          <w:szCs w:val="28"/>
        </w:rPr>
        <w:t>20</w:t>
      </w:r>
      <w:r w:rsidRPr="009E7347">
        <w:rPr>
          <w:sz w:val="28"/>
          <w:szCs w:val="28"/>
        </w:rPr>
        <w:t xml:space="preserve"> году по результатам проведения процедур </w:t>
      </w:r>
      <w:r>
        <w:rPr>
          <w:sz w:val="28"/>
          <w:szCs w:val="28"/>
        </w:rPr>
        <w:t xml:space="preserve">по определению поставщика (подрядчика, исполнителя) </w:t>
      </w:r>
      <w:r w:rsidRPr="009E7347">
        <w:rPr>
          <w:i/>
          <w:sz w:val="28"/>
          <w:szCs w:val="28"/>
        </w:rPr>
        <w:t>для нужд Администрации «Вяземский район» Смоленской области</w:t>
      </w:r>
      <w:r w:rsidRPr="009E7347">
        <w:rPr>
          <w:sz w:val="28"/>
          <w:szCs w:val="28"/>
        </w:rPr>
        <w:t xml:space="preserve"> следующая:</w:t>
      </w:r>
    </w:p>
    <w:p w14:paraId="3612AA79" w14:textId="77777777" w:rsidR="00723627" w:rsidRPr="00B73280" w:rsidRDefault="00723627" w:rsidP="00723627">
      <w:pPr>
        <w:ind w:firstLine="708"/>
        <w:jc w:val="both"/>
        <w:rPr>
          <w:color w:val="000000"/>
          <w:sz w:val="28"/>
          <w:szCs w:val="28"/>
        </w:rPr>
      </w:pPr>
      <w:r w:rsidRPr="009E7347">
        <w:rPr>
          <w:sz w:val="28"/>
          <w:szCs w:val="28"/>
        </w:rPr>
        <w:t xml:space="preserve">- </w:t>
      </w:r>
      <w:r>
        <w:rPr>
          <w:sz w:val="28"/>
          <w:szCs w:val="28"/>
        </w:rPr>
        <w:t xml:space="preserve">строительство спортивных объектов и объектов культуры - 6 209 516,88 </w:t>
      </w:r>
      <w:r w:rsidRPr="009E7347">
        <w:rPr>
          <w:color w:val="000000"/>
          <w:sz w:val="28"/>
          <w:szCs w:val="28"/>
        </w:rPr>
        <w:t>руб.</w:t>
      </w:r>
      <w:r>
        <w:rPr>
          <w:color w:val="000000"/>
          <w:sz w:val="28"/>
          <w:szCs w:val="28"/>
        </w:rPr>
        <w:t>;</w:t>
      </w:r>
    </w:p>
    <w:p w14:paraId="0522C631" w14:textId="77777777" w:rsidR="00723627" w:rsidRDefault="00723627" w:rsidP="00723627">
      <w:pPr>
        <w:ind w:firstLine="708"/>
        <w:jc w:val="both"/>
        <w:rPr>
          <w:color w:val="000000"/>
          <w:sz w:val="28"/>
          <w:szCs w:val="28"/>
        </w:rPr>
      </w:pPr>
      <w:r w:rsidRPr="009E7347">
        <w:rPr>
          <w:color w:val="000000"/>
          <w:sz w:val="28"/>
          <w:szCs w:val="28"/>
        </w:rPr>
        <w:t>- закупки на проведение благоустройства общественных территорий</w:t>
      </w:r>
      <w:r>
        <w:rPr>
          <w:color w:val="000000"/>
          <w:sz w:val="28"/>
          <w:szCs w:val="28"/>
        </w:rPr>
        <w:t xml:space="preserve"> -                   1 579 488,02 руб.;</w:t>
      </w:r>
    </w:p>
    <w:p w14:paraId="2219FE4D" w14:textId="77777777" w:rsidR="00723627" w:rsidRPr="009E7347" w:rsidRDefault="00723627" w:rsidP="00723627">
      <w:pPr>
        <w:ind w:firstLine="708"/>
        <w:jc w:val="both"/>
        <w:rPr>
          <w:color w:val="000000"/>
          <w:sz w:val="28"/>
          <w:szCs w:val="28"/>
        </w:rPr>
      </w:pPr>
      <w:r w:rsidRPr="009E7347">
        <w:rPr>
          <w:color w:val="000000"/>
          <w:sz w:val="28"/>
          <w:szCs w:val="28"/>
        </w:rPr>
        <w:t>- закупки по благоустройству территории В</w:t>
      </w:r>
      <w:r>
        <w:rPr>
          <w:color w:val="000000"/>
          <w:sz w:val="28"/>
          <w:szCs w:val="28"/>
        </w:rPr>
        <w:t xml:space="preserve">яземского городского поселения - </w:t>
      </w:r>
      <w:r w:rsidRPr="009E7347">
        <w:rPr>
          <w:color w:val="000000"/>
          <w:sz w:val="28"/>
          <w:szCs w:val="28"/>
        </w:rPr>
        <w:t xml:space="preserve"> </w:t>
      </w:r>
      <w:r>
        <w:rPr>
          <w:color w:val="000000"/>
          <w:sz w:val="28"/>
          <w:szCs w:val="28"/>
        </w:rPr>
        <w:t>1 896 816,65 руб.;</w:t>
      </w:r>
    </w:p>
    <w:p w14:paraId="5A3D81CC" w14:textId="77777777" w:rsidR="00723627" w:rsidRDefault="00723627" w:rsidP="00723627">
      <w:pPr>
        <w:ind w:firstLine="708"/>
        <w:jc w:val="both"/>
        <w:rPr>
          <w:color w:val="000000"/>
          <w:sz w:val="28"/>
          <w:szCs w:val="28"/>
        </w:rPr>
      </w:pPr>
      <w:r w:rsidRPr="009E7347">
        <w:rPr>
          <w:color w:val="000000"/>
          <w:sz w:val="28"/>
          <w:szCs w:val="28"/>
        </w:rPr>
        <w:t xml:space="preserve">- строительство объектов коммунальной инфраструктуры -  </w:t>
      </w:r>
      <w:r>
        <w:rPr>
          <w:color w:val="000000"/>
          <w:sz w:val="28"/>
          <w:szCs w:val="28"/>
        </w:rPr>
        <w:t>42 078 133,74</w:t>
      </w:r>
      <w:r w:rsidRPr="009E7347">
        <w:rPr>
          <w:color w:val="000000"/>
          <w:sz w:val="28"/>
          <w:szCs w:val="28"/>
        </w:rPr>
        <w:t xml:space="preserve"> руб.</w:t>
      </w:r>
      <w:r>
        <w:rPr>
          <w:color w:val="000000"/>
          <w:sz w:val="28"/>
          <w:szCs w:val="28"/>
        </w:rPr>
        <w:t>;</w:t>
      </w:r>
    </w:p>
    <w:p w14:paraId="04A9674C" w14:textId="77777777" w:rsidR="00723627" w:rsidRPr="009E7347" w:rsidRDefault="00723627" w:rsidP="00723627">
      <w:pPr>
        <w:ind w:firstLine="708"/>
        <w:jc w:val="both"/>
        <w:rPr>
          <w:color w:val="000000"/>
          <w:sz w:val="28"/>
          <w:szCs w:val="28"/>
        </w:rPr>
      </w:pPr>
      <w:r>
        <w:rPr>
          <w:color w:val="000000"/>
          <w:sz w:val="28"/>
          <w:szCs w:val="28"/>
        </w:rPr>
        <w:t>- текущий и капитальный ремонт автомобильных дорог и искусственных сооружений на них -  40 455 372,32 руб.;</w:t>
      </w:r>
    </w:p>
    <w:p w14:paraId="71EC8F92" w14:textId="4A9F7EB4" w:rsidR="00723627" w:rsidRDefault="00723627" w:rsidP="00723627">
      <w:pPr>
        <w:ind w:firstLine="708"/>
        <w:jc w:val="both"/>
        <w:rPr>
          <w:color w:val="000000"/>
          <w:sz w:val="28"/>
          <w:szCs w:val="28"/>
        </w:rPr>
      </w:pPr>
      <w:r>
        <w:rPr>
          <w:color w:val="000000"/>
          <w:sz w:val="28"/>
          <w:szCs w:val="28"/>
        </w:rPr>
        <w:t>- прочие закупки -</w:t>
      </w:r>
      <w:r w:rsidRPr="009E7347">
        <w:rPr>
          <w:color w:val="000000"/>
          <w:sz w:val="28"/>
          <w:szCs w:val="28"/>
        </w:rPr>
        <w:t xml:space="preserve"> </w:t>
      </w:r>
      <w:r>
        <w:rPr>
          <w:color w:val="000000"/>
          <w:sz w:val="28"/>
          <w:szCs w:val="28"/>
        </w:rPr>
        <w:t>9 637 877,80</w:t>
      </w:r>
      <w:r w:rsidRPr="009E7347">
        <w:rPr>
          <w:color w:val="000000"/>
          <w:sz w:val="28"/>
          <w:szCs w:val="28"/>
        </w:rPr>
        <w:t xml:space="preserve"> руб.</w:t>
      </w:r>
    </w:p>
    <w:p w14:paraId="63CC98EE" w14:textId="5FFBA8D6" w:rsidR="00253B64" w:rsidRPr="009E7347" w:rsidRDefault="00253B64" w:rsidP="00723627">
      <w:pPr>
        <w:ind w:firstLine="708"/>
        <w:jc w:val="both"/>
        <w:rPr>
          <w:color w:val="000000"/>
          <w:sz w:val="28"/>
          <w:szCs w:val="28"/>
        </w:rPr>
      </w:pPr>
      <w:r>
        <w:rPr>
          <w:color w:val="000000"/>
          <w:sz w:val="28"/>
          <w:szCs w:val="28"/>
        </w:rPr>
        <w:t xml:space="preserve">Общая сумма расчетной (условной) экономии по результатам </w:t>
      </w:r>
      <w:r w:rsidR="00DD744A">
        <w:rPr>
          <w:color w:val="000000"/>
          <w:sz w:val="28"/>
          <w:szCs w:val="28"/>
        </w:rPr>
        <w:t xml:space="preserve">проведения торгов для нужд Администрации в 2020 году составила </w:t>
      </w:r>
      <w:r w:rsidR="00DD744A">
        <w:rPr>
          <w:color w:val="000000"/>
          <w:sz w:val="28"/>
          <w:szCs w:val="28"/>
        </w:rPr>
        <w:br/>
        <w:t>101 878,28 тыс. руб.</w:t>
      </w:r>
    </w:p>
    <w:p w14:paraId="1B4CC063" w14:textId="00AE7F7D" w:rsidR="00723627" w:rsidRDefault="00723627" w:rsidP="00723627">
      <w:pPr>
        <w:jc w:val="both"/>
        <w:rPr>
          <w:color w:val="000000"/>
          <w:sz w:val="28"/>
          <w:szCs w:val="28"/>
        </w:rPr>
      </w:pPr>
      <w:r w:rsidRPr="009E7347">
        <w:rPr>
          <w:color w:val="000000"/>
          <w:sz w:val="28"/>
          <w:szCs w:val="28"/>
        </w:rPr>
        <w:tab/>
        <w:t xml:space="preserve">Структура экономии </w:t>
      </w:r>
      <w:r>
        <w:rPr>
          <w:color w:val="000000"/>
          <w:sz w:val="28"/>
          <w:szCs w:val="28"/>
        </w:rPr>
        <w:t>Администрации представлена в диаграмме 6.</w:t>
      </w:r>
    </w:p>
    <w:p w14:paraId="415D8E4A" w14:textId="77777777" w:rsidR="00723627" w:rsidRDefault="00723627" w:rsidP="00723627">
      <w:pPr>
        <w:jc w:val="both"/>
        <w:rPr>
          <w:color w:val="000000"/>
          <w:sz w:val="28"/>
          <w:szCs w:val="28"/>
        </w:rPr>
      </w:pPr>
    </w:p>
    <w:p w14:paraId="59697E9A" w14:textId="6C1A999A" w:rsidR="00723627" w:rsidRPr="00DD744A" w:rsidRDefault="00723627" w:rsidP="00723627">
      <w:pPr>
        <w:jc w:val="right"/>
        <w:rPr>
          <w:color w:val="000000"/>
        </w:rPr>
      </w:pPr>
      <w:r w:rsidRPr="00DD744A">
        <w:rPr>
          <w:color w:val="000000"/>
        </w:rPr>
        <w:t>Диаграмма 6</w:t>
      </w:r>
    </w:p>
    <w:p w14:paraId="53839A16" w14:textId="7ABB229E" w:rsidR="00723627" w:rsidRDefault="00723627" w:rsidP="00723627">
      <w:pPr>
        <w:jc w:val="both"/>
        <w:rPr>
          <w:color w:val="000000"/>
          <w:sz w:val="28"/>
          <w:szCs w:val="28"/>
        </w:rPr>
      </w:pPr>
      <w:r>
        <w:rPr>
          <w:noProof/>
          <w:color w:val="000000"/>
          <w:sz w:val="28"/>
          <w:szCs w:val="28"/>
        </w:rPr>
        <w:drawing>
          <wp:inline distT="0" distB="0" distL="0" distR="0" wp14:anchorId="782C056D" wp14:editId="7B32869D">
            <wp:extent cx="6067425" cy="364807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9A1EF" w14:textId="1A978F56" w:rsidR="003D52DE" w:rsidRPr="002C12FA" w:rsidRDefault="003D52DE" w:rsidP="003D52DE">
      <w:pPr>
        <w:autoSpaceDE w:val="0"/>
        <w:autoSpaceDN w:val="0"/>
        <w:adjustRightInd w:val="0"/>
        <w:ind w:firstLine="708"/>
        <w:jc w:val="both"/>
        <w:rPr>
          <w:sz w:val="28"/>
          <w:szCs w:val="28"/>
        </w:rPr>
      </w:pPr>
      <w:r>
        <w:rPr>
          <w:sz w:val="28"/>
          <w:szCs w:val="28"/>
        </w:rPr>
        <w:t xml:space="preserve">Стоит отметить, что на сегодняшний день специалистами Отдела </w:t>
      </w:r>
      <w:r w:rsidRPr="00AA1DBD">
        <w:rPr>
          <w:sz w:val="28"/>
          <w:szCs w:val="28"/>
        </w:rPr>
        <w:t xml:space="preserve">ведется разработка муниципального нормативного правового акта, регламентирующего порядок оценки эффективности закупочной деятельности муниципальных заказчиков Вяземского района. </w:t>
      </w:r>
      <w:r>
        <w:rPr>
          <w:sz w:val="28"/>
          <w:szCs w:val="28"/>
        </w:rPr>
        <w:t>В данном порядке эффективность будет</w:t>
      </w:r>
      <w:r w:rsidRPr="002C12FA">
        <w:rPr>
          <w:sz w:val="28"/>
          <w:szCs w:val="28"/>
        </w:rPr>
        <w:t xml:space="preserve"> </w:t>
      </w:r>
      <w:r>
        <w:rPr>
          <w:sz w:val="28"/>
          <w:szCs w:val="28"/>
        </w:rPr>
        <w:t>рассчитыва</w:t>
      </w:r>
      <w:r w:rsidRPr="002C12FA">
        <w:rPr>
          <w:sz w:val="28"/>
          <w:szCs w:val="28"/>
        </w:rPr>
        <w:t>т</w:t>
      </w:r>
      <w:r>
        <w:rPr>
          <w:sz w:val="28"/>
          <w:szCs w:val="28"/>
        </w:rPr>
        <w:t>ь</w:t>
      </w:r>
      <w:r w:rsidRPr="002C12FA">
        <w:rPr>
          <w:sz w:val="28"/>
          <w:szCs w:val="28"/>
        </w:rPr>
        <w:t>ся по каждому заказчику в отдельности, по каждой из отраслей управления в разрезе по главным распорядителям бюджетных средств и подведомственных ему заказчиков. Данный показатель</w:t>
      </w:r>
      <w:r>
        <w:rPr>
          <w:sz w:val="28"/>
          <w:szCs w:val="28"/>
        </w:rPr>
        <w:t xml:space="preserve"> будет иметь</w:t>
      </w:r>
      <w:r w:rsidRPr="002C12FA">
        <w:rPr>
          <w:sz w:val="28"/>
          <w:szCs w:val="28"/>
        </w:rPr>
        <w:t xml:space="preserve"> нормальное значение, если экономия составляет не менее 5% и не более 25%. Отклонение более 25% считается ненормальным, поскольку существенное снижение начальной цены может повлечь за собой снижение качества объекта закупки и т.н. «мнимую экономию», выражающуюся в том, что при большом снижении цены контракта и низком качестве объекта закупки стоимость удовлетворения муниципальных нужд значительно возрастет и может превысить начальную цену за счет дорогостоящего</w:t>
      </w:r>
      <w:r>
        <w:rPr>
          <w:sz w:val="28"/>
          <w:szCs w:val="28"/>
        </w:rPr>
        <w:t xml:space="preserve"> </w:t>
      </w:r>
      <w:r w:rsidRPr="002C12FA">
        <w:rPr>
          <w:sz w:val="28"/>
          <w:szCs w:val="28"/>
        </w:rPr>
        <w:t>ремонта, покупки запасных частей и т.д.</w:t>
      </w:r>
    </w:p>
    <w:p w14:paraId="5B061F92" w14:textId="77777777" w:rsidR="003D52DE" w:rsidRDefault="003D52DE" w:rsidP="003D52DE">
      <w:pPr>
        <w:autoSpaceDE w:val="0"/>
        <w:autoSpaceDN w:val="0"/>
        <w:adjustRightInd w:val="0"/>
        <w:ind w:firstLine="708"/>
        <w:jc w:val="both"/>
        <w:rPr>
          <w:sz w:val="28"/>
          <w:szCs w:val="28"/>
        </w:rPr>
      </w:pPr>
      <w:r w:rsidRPr="002C12FA">
        <w:rPr>
          <w:i/>
          <w:sz w:val="28"/>
          <w:szCs w:val="28"/>
        </w:rPr>
        <w:t>Низким уровнем экономической эффективности закупок</w:t>
      </w:r>
      <w:r w:rsidRPr="002C12FA">
        <w:rPr>
          <w:sz w:val="28"/>
          <w:szCs w:val="28"/>
        </w:rPr>
        <w:t xml:space="preserve"> </w:t>
      </w:r>
      <w:r>
        <w:rPr>
          <w:sz w:val="28"/>
          <w:szCs w:val="28"/>
        </w:rPr>
        <w:t>будет считаться</w:t>
      </w:r>
      <w:r w:rsidRPr="002C12FA">
        <w:rPr>
          <w:sz w:val="28"/>
          <w:szCs w:val="28"/>
        </w:rPr>
        <w:t xml:space="preserve"> промежуток экономии от 0 до 5% от начальной цены контракта. Закупки, по которым не было </w:t>
      </w:r>
      <w:r>
        <w:rPr>
          <w:sz w:val="28"/>
          <w:szCs w:val="28"/>
        </w:rPr>
        <w:t>экономии (получа</w:t>
      </w:r>
      <w:r w:rsidRPr="002C12FA">
        <w:rPr>
          <w:sz w:val="28"/>
          <w:szCs w:val="28"/>
        </w:rPr>
        <w:t xml:space="preserve">т значение – неэффективно), либо по которым она превышала </w:t>
      </w:r>
      <w:r>
        <w:rPr>
          <w:sz w:val="28"/>
          <w:szCs w:val="28"/>
        </w:rPr>
        <w:t>25% от начальной цены (получа</w:t>
      </w:r>
      <w:r w:rsidRPr="002C12FA">
        <w:rPr>
          <w:sz w:val="28"/>
          <w:szCs w:val="28"/>
        </w:rPr>
        <w:t>т значение – завышенная эффективность), в рейтинг не идут, и им присваивается показатель экономической эффективности со значением 0.</w:t>
      </w:r>
    </w:p>
    <w:p w14:paraId="14F60466" w14:textId="77777777" w:rsidR="003D52DE" w:rsidRDefault="003D52DE" w:rsidP="003D52DE">
      <w:pPr>
        <w:autoSpaceDE w:val="0"/>
        <w:autoSpaceDN w:val="0"/>
        <w:adjustRightInd w:val="0"/>
        <w:ind w:firstLine="708"/>
        <w:jc w:val="both"/>
        <w:rPr>
          <w:sz w:val="28"/>
          <w:szCs w:val="28"/>
        </w:rPr>
      </w:pPr>
      <w:r w:rsidRPr="008D35DB">
        <w:rPr>
          <w:sz w:val="28"/>
          <w:szCs w:val="28"/>
        </w:rPr>
        <w:t xml:space="preserve">По предварительным расчетам, в 2020 г. на основании обобщенных данных закупочной деятельности муниципальных заказчиков Вяземского района из 72 </w:t>
      </w:r>
      <w:r>
        <w:rPr>
          <w:sz w:val="28"/>
          <w:szCs w:val="28"/>
        </w:rPr>
        <w:t>муниципальных заказчиков</w:t>
      </w:r>
      <w:r w:rsidRPr="008D35DB">
        <w:rPr>
          <w:sz w:val="28"/>
          <w:szCs w:val="28"/>
        </w:rPr>
        <w:t xml:space="preserve"> можно присвоить оценку «нормальная эффективность» - 24 учреждениям (в том числе Администрации),  26</w:t>
      </w:r>
      <w:r>
        <w:rPr>
          <w:sz w:val="28"/>
          <w:szCs w:val="28"/>
        </w:rPr>
        <w:t xml:space="preserve"> </w:t>
      </w:r>
      <w:r w:rsidRPr="008D35DB">
        <w:rPr>
          <w:sz w:val="28"/>
          <w:szCs w:val="28"/>
        </w:rPr>
        <w:t xml:space="preserve">- </w:t>
      </w:r>
      <w:r>
        <w:rPr>
          <w:sz w:val="28"/>
          <w:szCs w:val="28"/>
        </w:rPr>
        <w:t>оценку</w:t>
      </w:r>
      <w:r w:rsidRPr="008D35DB">
        <w:rPr>
          <w:sz w:val="28"/>
          <w:szCs w:val="28"/>
        </w:rPr>
        <w:t xml:space="preserve"> «низкая эффективность», 21 муниципальный заказчик  не попал в рейтинг по причине того, что их закупочная деятельность признана неэффективной.</w:t>
      </w:r>
    </w:p>
    <w:p w14:paraId="399D987F" w14:textId="38FE6BCD" w:rsidR="0093426B" w:rsidRPr="00E97812" w:rsidRDefault="00E97812" w:rsidP="00E97812">
      <w:pPr>
        <w:autoSpaceDE w:val="0"/>
        <w:autoSpaceDN w:val="0"/>
        <w:adjustRightInd w:val="0"/>
        <w:ind w:firstLine="708"/>
        <w:jc w:val="both"/>
        <w:rPr>
          <w:b/>
          <w:sz w:val="28"/>
          <w:szCs w:val="28"/>
        </w:rPr>
      </w:pPr>
      <w:r>
        <w:rPr>
          <w:sz w:val="28"/>
          <w:szCs w:val="28"/>
        </w:rPr>
        <w:t>В Администрации по итогам отчетного года 53% закупок по данной шкале признаны соответствующими нормальному уровню эффективности, 38% - низкому уровню эффективности, и 9% закупок не участвовали в рейтинге, поскольку снижение по ним в результате торгов составило более 25%. К таким контрактам были применены антидемпинговые меры в соответствии со ст. 37 Федерального закона о закупках.</w:t>
      </w:r>
    </w:p>
    <w:p w14:paraId="69A3CB16" w14:textId="77777777" w:rsidR="004A54FF" w:rsidRDefault="004A54FF" w:rsidP="00966DE5">
      <w:pPr>
        <w:jc w:val="both"/>
        <w:rPr>
          <w:sz w:val="28"/>
          <w:szCs w:val="28"/>
        </w:rPr>
      </w:pPr>
    </w:p>
    <w:p w14:paraId="4BB2F3AB" w14:textId="77777777" w:rsidR="004A54FF" w:rsidRPr="004A54FF" w:rsidRDefault="004A54FF" w:rsidP="004A54FF">
      <w:pPr>
        <w:jc w:val="center"/>
        <w:rPr>
          <w:b/>
          <w:sz w:val="28"/>
          <w:szCs w:val="28"/>
        </w:rPr>
      </w:pPr>
      <w:r w:rsidRPr="004A54FF">
        <w:rPr>
          <w:b/>
          <w:sz w:val="28"/>
          <w:szCs w:val="28"/>
        </w:rPr>
        <w:t>Расторжение контрактов</w:t>
      </w:r>
    </w:p>
    <w:p w14:paraId="2B3AB772" w14:textId="77777777" w:rsidR="004A54FF" w:rsidRDefault="004A54FF" w:rsidP="004A54FF">
      <w:pPr>
        <w:jc w:val="center"/>
        <w:rPr>
          <w:sz w:val="28"/>
          <w:szCs w:val="28"/>
        </w:rPr>
      </w:pPr>
    </w:p>
    <w:p w14:paraId="069C5F78" w14:textId="08692B71" w:rsidR="004A54FF" w:rsidRDefault="004A54FF" w:rsidP="004A54FF">
      <w:pPr>
        <w:jc w:val="both"/>
        <w:rPr>
          <w:sz w:val="28"/>
          <w:szCs w:val="28"/>
        </w:rPr>
      </w:pPr>
      <w:r>
        <w:rPr>
          <w:sz w:val="28"/>
          <w:szCs w:val="28"/>
        </w:rPr>
        <w:t xml:space="preserve">     В 20</w:t>
      </w:r>
      <w:r w:rsidR="00E97812">
        <w:rPr>
          <w:sz w:val="28"/>
          <w:szCs w:val="28"/>
        </w:rPr>
        <w:t>20</w:t>
      </w:r>
      <w:r>
        <w:rPr>
          <w:sz w:val="28"/>
          <w:szCs w:val="28"/>
        </w:rPr>
        <w:t xml:space="preserve"> году расторгнут</w:t>
      </w:r>
      <w:r w:rsidR="006C76F9">
        <w:rPr>
          <w:sz w:val="28"/>
          <w:szCs w:val="28"/>
        </w:rPr>
        <w:t>о по соглашению сторон</w:t>
      </w:r>
      <w:r>
        <w:rPr>
          <w:sz w:val="28"/>
          <w:szCs w:val="28"/>
        </w:rPr>
        <w:t xml:space="preserve"> </w:t>
      </w:r>
      <w:r w:rsidR="00E97812">
        <w:rPr>
          <w:sz w:val="28"/>
          <w:szCs w:val="28"/>
        </w:rPr>
        <w:t xml:space="preserve">2 контракта, расторжению в одностороннем порядке по инициативе заказчика </w:t>
      </w:r>
      <w:r w:rsidR="008F42A0">
        <w:rPr>
          <w:sz w:val="28"/>
          <w:szCs w:val="28"/>
        </w:rPr>
        <w:t xml:space="preserve">за ненадлежащее исполнение подрядчиками своих обязательств </w:t>
      </w:r>
      <w:r w:rsidR="00E97812">
        <w:rPr>
          <w:sz w:val="28"/>
          <w:szCs w:val="28"/>
        </w:rPr>
        <w:t>подверглись 4 муниципальных контракта.</w:t>
      </w:r>
    </w:p>
    <w:p w14:paraId="45B43517" w14:textId="77777777" w:rsidR="00986359" w:rsidRDefault="00986359" w:rsidP="004A54FF">
      <w:pPr>
        <w:jc w:val="both"/>
        <w:rPr>
          <w:sz w:val="28"/>
          <w:szCs w:val="28"/>
        </w:rPr>
      </w:pPr>
    </w:p>
    <w:p w14:paraId="44AACC6B" w14:textId="59ED8737" w:rsidR="0092118C" w:rsidRPr="00986359" w:rsidRDefault="00986359" w:rsidP="00986359">
      <w:pPr>
        <w:jc w:val="center"/>
        <w:rPr>
          <w:b/>
          <w:bCs/>
          <w:sz w:val="28"/>
          <w:szCs w:val="28"/>
        </w:rPr>
      </w:pPr>
      <w:r w:rsidRPr="00986359">
        <w:rPr>
          <w:b/>
          <w:bCs/>
          <w:sz w:val="28"/>
          <w:szCs w:val="28"/>
        </w:rPr>
        <w:t>Конкурентоспособность среди участников закупок</w:t>
      </w:r>
    </w:p>
    <w:p w14:paraId="24DBE214" w14:textId="6638E3D0" w:rsidR="00986359" w:rsidRPr="00800D3F" w:rsidRDefault="00986359" w:rsidP="00986359">
      <w:pPr>
        <w:pStyle w:val="20"/>
        <w:shd w:val="clear" w:color="auto" w:fill="auto"/>
        <w:spacing w:before="0" w:line="240" w:lineRule="auto"/>
        <w:ind w:firstLine="880"/>
        <w:rPr>
          <w:rFonts w:ascii="Times New Roman" w:hAnsi="Times New Roman"/>
          <w:sz w:val="28"/>
          <w:szCs w:val="28"/>
        </w:rPr>
      </w:pPr>
      <w:r w:rsidRPr="00800D3F">
        <w:rPr>
          <w:rFonts w:ascii="Times New Roman" w:hAnsi="Times New Roman"/>
          <w:color w:val="000000"/>
          <w:sz w:val="28"/>
          <w:szCs w:val="28"/>
          <w:lang w:eastAsia="ru-RU" w:bidi="ru-RU"/>
        </w:rPr>
        <w:t xml:space="preserve">В отчетном году имеет место увеличение конкурентоспособности среди участников закупок. Так, в 2018 году на один лот приходилось 1,8 заявки, в 2019 же году  - 2,3 заявки, а в 2020 году  этот показатель вырос до 2,6 заявки на один. Стоит отметить, что данные показатель, наряду с показателем экономии, также влияет на оценку эффективности закупочной деятельности организации. </w:t>
      </w:r>
    </w:p>
    <w:p w14:paraId="2B9F99CC" w14:textId="77777777" w:rsidR="00986359" w:rsidRDefault="00986359" w:rsidP="004A54FF">
      <w:pPr>
        <w:jc w:val="both"/>
        <w:rPr>
          <w:sz w:val="28"/>
          <w:szCs w:val="28"/>
        </w:rPr>
      </w:pPr>
    </w:p>
    <w:p w14:paraId="5866B5D3" w14:textId="77777777" w:rsidR="00DD744A" w:rsidRDefault="00DD744A" w:rsidP="00800D3F">
      <w:pPr>
        <w:jc w:val="center"/>
        <w:rPr>
          <w:b/>
          <w:sz w:val="28"/>
          <w:szCs w:val="28"/>
        </w:rPr>
      </w:pPr>
    </w:p>
    <w:p w14:paraId="5C0BC08E" w14:textId="77777777" w:rsidR="00DD744A" w:rsidRDefault="00DD744A" w:rsidP="00800D3F">
      <w:pPr>
        <w:jc w:val="center"/>
        <w:rPr>
          <w:b/>
          <w:sz w:val="28"/>
          <w:szCs w:val="28"/>
        </w:rPr>
      </w:pPr>
    </w:p>
    <w:p w14:paraId="06FE14D8" w14:textId="775A3E0F" w:rsidR="00800D3F" w:rsidRDefault="00800D3F" w:rsidP="00800D3F">
      <w:pPr>
        <w:jc w:val="center"/>
        <w:rPr>
          <w:b/>
          <w:sz w:val="28"/>
          <w:szCs w:val="28"/>
        </w:rPr>
      </w:pPr>
      <w:r w:rsidRPr="00BA46B5">
        <w:rPr>
          <w:b/>
          <w:sz w:val="28"/>
          <w:szCs w:val="28"/>
        </w:rPr>
        <w:t xml:space="preserve">Претензионная работа </w:t>
      </w:r>
    </w:p>
    <w:p w14:paraId="43A63F7B" w14:textId="5D39A1B9" w:rsidR="00800D3F" w:rsidRDefault="00800D3F" w:rsidP="00800D3F">
      <w:pPr>
        <w:jc w:val="center"/>
        <w:rPr>
          <w:sz w:val="28"/>
          <w:szCs w:val="28"/>
        </w:rPr>
      </w:pPr>
      <w:r>
        <w:rPr>
          <w:sz w:val="28"/>
          <w:szCs w:val="28"/>
        </w:rPr>
        <w:tab/>
      </w:r>
    </w:p>
    <w:p w14:paraId="5BDE17F7" w14:textId="26460477" w:rsidR="00800D3F" w:rsidRPr="005C6D36" w:rsidRDefault="00800D3F" w:rsidP="00800D3F">
      <w:pPr>
        <w:ind w:firstLine="708"/>
        <w:jc w:val="both"/>
        <w:rPr>
          <w:sz w:val="28"/>
          <w:szCs w:val="28"/>
        </w:rPr>
      </w:pPr>
      <w:r>
        <w:rPr>
          <w:sz w:val="28"/>
          <w:szCs w:val="28"/>
        </w:rPr>
        <w:t>Особое внимание в 2020 году Отделом уделялось  работе по ведению претензионной деятельности в рамках исполнения муниципальных контрактов, заключенных между Администрацией и победителями закупок.</w:t>
      </w:r>
    </w:p>
    <w:p w14:paraId="39D95C3E" w14:textId="776189C4" w:rsidR="00800D3F" w:rsidRPr="0049365C" w:rsidRDefault="00800D3F" w:rsidP="00800D3F">
      <w:pPr>
        <w:pStyle w:val="Default"/>
        <w:jc w:val="both"/>
        <w:rPr>
          <w:sz w:val="28"/>
          <w:szCs w:val="28"/>
        </w:rPr>
      </w:pPr>
      <w:r>
        <w:rPr>
          <w:sz w:val="28"/>
          <w:szCs w:val="28"/>
        </w:rPr>
        <w:tab/>
        <w:t>Известно, что в</w:t>
      </w:r>
      <w:r w:rsidRPr="004E6021">
        <w:rPr>
          <w:sz w:val="28"/>
          <w:szCs w:val="28"/>
        </w:rPr>
        <w:t xml:space="preserve">едение претензионной работы при наличии для этого оснований и включение контрагента в реестр недобросовестных поставщиков </w:t>
      </w:r>
      <w:r w:rsidRPr="00AA1DBD">
        <w:rPr>
          <w:sz w:val="28"/>
          <w:szCs w:val="28"/>
        </w:rPr>
        <w:t>(РНП)</w:t>
      </w:r>
      <w:r w:rsidRPr="004E6021">
        <w:rPr>
          <w:sz w:val="28"/>
          <w:szCs w:val="28"/>
        </w:rPr>
        <w:t xml:space="preserve"> при расторжении контракта являются не только механизмом компенсации убытков, но и стимулом надлежащего исполнения поста</w:t>
      </w:r>
      <w:r>
        <w:rPr>
          <w:sz w:val="28"/>
          <w:szCs w:val="28"/>
        </w:rPr>
        <w:t>вщиком обязательств по контракту.</w:t>
      </w:r>
      <w:r w:rsidRPr="0049365C">
        <w:rPr>
          <w:sz w:val="28"/>
          <w:szCs w:val="28"/>
        </w:rPr>
        <w:t xml:space="preserve"> </w:t>
      </w:r>
    </w:p>
    <w:p w14:paraId="62B491DC" w14:textId="77777777" w:rsidR="00800D3F" w:rsidRPr="00AA1DBD" w:rsidRDefault="00800D3F" w:rsidP="00800D3F">
      <w:pPr>
        <w:pStyle w:val="Default"/>
        <w:jc w:val="both"/>
        <w:rPr>
          <w:color w:val="auto"/>
          <w:sz w:val="28"/>
          <w:szCs w:val="28"/>
        </w:rPr>
      </w:pPr>
      <w:r>
        <w:rPr>
          <w:color w:val="auto"/>
          <w:sz w:val="28"/>
          <w:szCs w:val="28"/>
        </w:rPr>
        <w:t xml:space="preserve"> </w:t>
      </w:r>
      <w:r>
        <w:rPr>
          <w:color w:val="auto"/>
          <w:sz w:val="28"/>
          <w:szCs w:val="28"/>
        </w:rPr>
        <w:tab/>
        <w:t xml:space="preserve">На сегодняшний день, для четкой, эффективной системы организации претензионной работы в Вяземском районе сделано немало. Основными звеньями в данной цепочке в Администрации, как в отдельно взятом заказчике, выступают </w:t>
      </w:r>
      <w:r w:rsidRPr="00AA1DBD">
        <w:rPr>
          <w:color w:val="auto"/>
          <w:sz w:val="28"/>
          <w:szCs w:val="28"/>
        </w:rPr>
        <w:t>юридический отдел, структурные подразделения Администрации и отдел по регулированию контрактной системы в сфере закупок.</w:t>
      </w:r>
    </w:p>
    <w:p w14:paraId="188BDAF7" w14:textId="77777777" w:rsidR="00800D3F" w:rsidRDefault="00800D3F" w:rsidP="00800D3F">
      <w:pPr>
        <w:pStyle w:val="Default"/>
        <w:ind w:firstLine="708"/>
        <w:jc w:val="both"/>
        <w:rPr>
          <w:sz w:val="28"/>
          <w:szCs w:val="28"/>
        </w:rPr>
      </w:pPr>
      <w:r>
        <w:rPr>
          <w:sz w:val="28"/>
          <w:szCs w:val="28"/>
        </w:rPr>
        <w:t>Для оценки эффективности ведения претензионной работы в Администрации показательным стал 2020 год.</w:t>
      </w:r>
    </w:p>
    <w:p w14:paraId="485BFF03" w14:textId="77777777" w:rsidR="00800D3F" w:rsidRPr="005E26BA" w:rsidRDefault="00800D3F" w:rsidP="00800D3F">
      <w:pPr>
        <w:pStyle w:val="Default"/>
        <w:ind w:firstLine="708"/>
        <w:jc w:val="both"/>
        <w:rPr>
          <w:sz w:val="28"/>
          <w:szCs w:val="28"/>
        </w:rPr>
      </w:pPr>
      <w:r w:rsidRPr="005E26BA">
        <w:rPr>
          <w:sz w:val="28"/>
          <w:szCs w:val="28"/>
        </w:rPr>
        <w:t>Пандемия коронавируса, а также ограничительные м</w:t>
      </w:r>
      <w:r>
        <w:rPr>
          <w:sz w:val="28"/>
          <w:szCs w:val="28"/>
        </w:rPr>
        <w:t xml:space="preserve">еры, вводимые как Президентом Российской Федерации </w:t>
      </w:r>
      <w:r w:rsidRPr="005E26BA">
        <w:rPr>
          <w:sz w:val="28"/>
          <w:szCs w:val="28"/>
        </w:rPr>
        <w:t xml:space="preserve"> так и Губернатором Смоленской области, значительно повлияли как и на процедуры определения поставщиков (</w:t>
      </w:r>
      <w:r>
        <w:rPr>
          <w:sz w:val="28"/>
          <w:szCs w:val="28"/>
        </w:rPr>
        <w:t>подря</w:t>
      </w:r>
      <w:r w:rsidRPr="005E26BA">
        <w:rPr>
          <w:sz w:val="28"/>
          <w:szCs w:val="28"/>
        </w:rPr>
        <w:t xml:space="preserve">дчиков, исполнителей), так и на сам процесс исполнения контрагентами своих обязательств по муниципальным контрактам. </w:t>
      </w:r>
    </w:p>
    <w:p w14:paraId="0C52E24C" w14:textId="77777777" w:rsidR="00800D3F" w:rsidRPr="00BA46B5" w:rsidRDefault="00800D3F" w:rsidP="00800D3F">
      <w:pPr>
        <w:autoSpaceDE w:val="0"/>
        <w:autoSpaceDN w:val="0"/>
        <w:adjustRightInd w:val="0"/>
        <w:ind w:firstLine="708"/>
        <w:jc w:val="both"/>
        <w:rPr>
          <w:i/>
          <w:iCs/>
          <w:sz w:val="28"/>
          <w:szCs w:val="28"/>
          <w:u w:val="single"/>
        </w:rPr>
      </w:pPr>
      <w:r w:rsidRPr="005E26BA">
        <w:rPr>
          <w:sz w:val="28"/>
          <w:szCs w:val="28"/>
        </w:rPr>
        <w:t>Так, Федеральным законом от 24.04.2020 №124-ФЗ</w:t>
      </w:r>
      <w:r>
        <w:rPr>
          <w:sz w:val="28"/>
          <w:szCs w:val="28"/>
        </w:rPr>
        <w:t xml:space="preserve"> </w:t>
      </w:r>
      <w:r w:rsidRPr="005E26BA">
        <w:rPr>
          <w:sz w:val="28"/>
          <w:szCs w:val="28"/>
        </w:rPr>
        <w:t>«О внесении изменений в отдельные законодательные акты Российской Федерации по вопросам обеспечения устойчивого развития экономи</w:t>
      </w:r>
      <w:r>
        <w:rPr>
          <w:sz w:val="28"/>
          <w:szCs w:val="28"/>
        </w:rPr>
        <w:t>ки</w:t>
      </w:r>
      <w:r w:rsidRPr="005E26BA">
        <w:rPr>
          <w:sz w:val="28"/>
          <w:szCs w:val="28"/>
        </w:rPr>
        <w:t xml:space="preserve"> в условиях ухудшения ситуации в связи с распространением новой коронавирусной инфекции</w:t>
      </w:r>
      <w:r>
        <w:rPr>
          <w:sz w:val="28"/>
          <w:szCs w:val="28"/>
        </w:rPr>
        <w:t>»</w:t>
      </w:r>
      <w:r w:rsidRPr="005E26BA">
        <w:rPr>
          <w:sz w:val="28"/>
          <w:szCs w:val="28"/>
        </w:rPr>
        <w:t xml:space="preserve"> </w:t>
      </w:r>
      <w:r>
        <w:rPr>
          <w:sz w:val="28"/>
          <w:szCs w:val="28"/>
        </w:rPr>
        <w:t xml:space="preserve"> </w:t>
      </w:r>
      <w:r w:rsidRPr="005E26BA">
        <w:rPr>
          <w:sz w:val="28"/>
          <w:szCs w:val="28"/>
        </w:rPr>
        <w:t xml:space="preserve"> в ст. </w:t>
      </w:r>
      <w:r w:rsidRPr="0049365C">
        <w:rPr>
          <w:sz w:val="28"/>
          <w:szCs w:val="28"/>
        </w:rPr>
        <w:t xml:space="preserve">112 Федерального закона №44-ФЗ были внесены изменения путем добавления отдельного пункта, позволяющего </w:t>
      </w:r>
      <w:r w:rsidRPr="0049365C">
        <w:rPr>
          <w:i/>
          <w:iCs/>
          <w:sz w:val="28"/>
          <w:szCs w:val="28"/>
        </w:rPr>
        <w:t>изменять  сроки исполнения контрактов.</w:t>
      </w:r>
    </w:p>
    <w:p w14:paraId="62C026AB" w14:textId="77777777" w:rsidR="00800D3F" w:rsidRPr="0049365C" w:rsidRDefault="00800D3F" w:rsidP="00800D3F">
      <w:pPr>
        <w:autoSpaceDE w:val="0"/>
        <w:autoSpaceDN w:val="0"/>
        <w:adjustRightInd w:val="0"/>
        <w:ind w:firstLine="708"/>
        <w:jc w:val="both"/>
        <w:rPr>
          <w:sz w:val="28"/>
          <w:szCs w:val="28"/>
        </w:rPr>
      </w:pPr>
      <w:r w:rsidRPr="0049365C">
        <w:rPr>
          <w:iCs/>
          <w:sz w:val="28"/>
          <w:szCs w:val="28"/>
        </w:rPr>
        <w:t>В 2020 году в Администрацию обратились</w:t>
      </w:r>
      <w:r w:rsidRPr="0049365C">
        <w:rPr>
          <w:i/>
          <w:iCs/>
          <w:sz w:val="28"/>
          <w:szCs w:val="28"/>
        </w:rPr>
        <w:t xml:space="preserve"> 5 организаций с просьбой о продлении сроков по исполняемым ими муниципальных контрактов ввиду того, что </w:t>
      </w:r>
      <w:r w:rsidRPr="0049365C">
        <w:rPr>
          <w:sz w:val="28"/>
          <w:szCs w:val="28"/>
        </w:rPr>
        <w:t>от 15 апреля 2020 года N 204 «О введении ограничительных мероприятий (карантина) на территории Вяземского городского поселения Вяземского района Смоленской области» на территории г. Вязьмы с 16.04.2020 по 12.05.2020 включительно был введен карантин и ограничен въезд на территорию города. Это безусловно, создало трудности при исполнении контрактов.</w:t>
      </w:r>
    </w:p>
    <w:p w14:paraId="00985CA5" w14:textId="77777777" w:rsidR="00800D3F" w:rsidRDefault="00800D3F" w:rsidP="00800D3F">
      <w:pPr>
        <w:autoSpaceDE w:val="0"/>
        <w:autoSpaceDN w:val="0"/>
        <w:adjustRightInd w:val="0"/>
        <w:ind w:firstLine="708"/>
        <w:jc w:val="both"/>
        <w:rPr>
          <w:sz w:val="28"/>
          <w:szCs w:val="28"/>
        </w:rPr>
      </w:pPr>
      <w:r>
        <w:rPr>
          <w:sz w:val="28"/>
          <w:szCs w:val="28"/>
        </w:rPr>
        <w:t>На основании данных обращений Администрация продлила сроки по 11 муниципальным контрактам.</w:t>
      </w:r>
    </w:p>
    <w:p w14:paraId="7026D658" w14:textId="77777777" w:rsidR="00800D3F" w:rsidRDefault="00800D3F" w:rsidP="00800D3F">
      <w:pPr>
        <w:autoSpaceDE w:val="0"/>
        <w:autoSpaceDN w:val="0"/>
        <w:adjustRightInd w:val="0"/>
        <w:ind w:firstLine="708"/>
        <w:jc w:val="both"/>
        <w:rPr>
          <w:sz w:val="28"/>
          <w:szCs w:val="28"/>
        </w:rPr>
      </w:pPr>
      <w:r>
        <w:rPr>
          <w:sz w:val="28"/>
          <w:szCs w:val="28"/>
        </w:rPr>
        <w:t>Но, к сожалению, исполнение как этих муниципальных, так и многих других, заключенных в 2020 году, не обошлось без претензионной работы со                      стороны заказчика.</w:t>
      </w:r>
    </w:p>
    <w:p w14:paraId="1CF9D4D9" w14:textId="77777777" w:rsidR="00800D3F" w:rsidRDefault="00800D3F" w:rsidP="00800D3F">
      <w:pPr>
        <w:autoSpaceDE w:val="0"/>
        <w:autoSpaceDN w:val="0"/>
        <w:adjustRightInd w:val="0"/>
        <w:ind w:firstLine="708"/>
        <w:jc w:val="both"/>
        <w:rPr>
          <w:sz w:val="28"/>
          <w:szCs w:val="28"/>
        </w:rPr>
      </w:pPr>
      <w:r>
        <w:rPr>
          <w:sz w:val="28"/>
          <w:szCs w:val="28"/>
        </w:rPr>
        <w:t xml:space="preserve">Так, за 2020 год, за ненадлежащее исполнение условий муниципальных контрактов, было взыскано штрафов </w:t>
      </w:r>
      <w:r>
        <w:rPr>
          <w:b/>
          <w:sz w:val="28"/>
          <w:szCs w:val="28"/>
        </w:rPr>
        <w:t xml:space="preserve">461 </w:t>
      </w:r>
      <w:r w:rsidRPr="00D30D3C">
        <w:rPr>
          <w:b/>
          <w:sz w:val="28"/>
          <w:szCs w:val="28"/>
        </w:rPr>
        <w:t>481,86 руб</w:t>
      </w:r>
      <w:r>
        <w:rPr>
          <w:sz w:val="28"/>
          <w:szCs w:val="28"/>
        </w:rPr>
        <w:t xml:space="preserve">., в том числе, с удержанием суммы по банковской гарантии, предоставленной в качестве обеспечения исполнения муниципального контракта, в размере 241 481,86 руб., пеней за просрочку исполнения обязательств по муниципальным контрактам – </w:t>
      </w:r>
      <w:r w:rsidRPr="00D30D3C">
        <w:rPr>
          <w:b/>
          <w:sz w:val="28"/>
          <w:szCs w:val="28"/>
        </w:rPr>
        <w:t>480 473,36 руб</w:t>
      </w:r>
      <w:r>
        <w:rPr>
          <w:sz w:val="28"/>
          <w:szCs w:val="28"/>
        </w:rPr>
        <w:t>.</w:t>
      </w:r>
    </w:p>
    <w:p w14:paraId="376756FC" w14:textId="77777777" w:rsidR="00800D3F" w:rsidRDefault="00800D3F" w:rsidP="00800D3F">
      <w:pPr>
        <w:autoSpaceDE w:val="0"/>
        <w:autoSpaceDN w:val="0"/>
        <w:adjustRightInd w:val="0"/>
        <w:ind w:firstLine="708"/>
        <w:jc w:val="both"/>
        <w:rPr>
          <w:sz w:val="23"/>
          <w:szCs w:val="23"/>
        </w:rPr>
      </w:pPr>
      <w:r w:rsidRPr="00AD400A">
        <w:rPr>
          <w:sz w:val="28"/>
          <w:szCs w:val="28"/>
        </w:rPr>
        <w:t xml:space="preserve"> Осно</w:t>
      </w:r>
      <w:r>
        <w:rPr>
          <w:sz w:val="28"/>
          <w:szCs w:val="28"/>
        </w:rPr>
        <w:t>вной объем нарушений поставщиками (подрядчиками, исполнителями</w:t>
      </w:r>
      <w:r w:rsidRPr="00AD400A">
        <w:rPr>
          <w:sz w:val="28"/>
          <w:szCs w:val="28"/>
        </w:rPr>
        <w:t xml:space="preserve">) фиксируется по причине нарушения срока исполнения обязательств. </w:t>
      </w:r>
      <w:r>
        <w:rPr>
          <w:sz w:val="28"/>
          <w:szCs w:val="28"/>
        </w:rPr>
        <w:t>В</w:t>
      </w:r>
      <w:r w:rsidRPr="00AD400A">
        <w:rPr>
          <w:sz w:val="28"/>
          <w:szCs w:val="28"/>
        </w:rPr>
        <w:t>ыставление претензий осуществля</w:t>
      </w:r>
      <w:r>
        <w:rPr>
          <w:sz w:val="28"/>
          <w:szCs w:val="28"/>
        </w:rPr>
        <w:t>лось как при приближении срока завершения работ, так и на этапе</w:t>
      </w:r>
      <w:r w:rsidRPr="00AD400A">
        <w:rPr>
          <w:sz w:val="28"/>
          <w:szCs w:val="28"/>
        </w:rPr>
        <w:t xml:space="preserve"> приемки результатов работы поставщиков, так как на этом этапе устанавливается дата подписания акта приемки и есть возможность определить точный период просрочки. Выставление штрафов за неисполнение или ненадлежащее исполнение обязательств применяется как на этапе исполнения муниципального контракта, так  и в случаях расторжения контрактов в одностороннем порядке</w:t>
      </w:r>
      <w:r>
        <w:rPr>
          <w:sz w:val="23"/>
          <w:szCs w:val="23"/>
        </w:rPr>
        <w:t>.</w:t>
      </w:r>
    </w:p>
    <w:p w14:paraId="1280C656" w14:textId="77777777" w:rsidR="00800D3F" w:rsidRDefault="00800D3F" w:rsidP="00800D3F">
      <w:pPr>
        <w:autoSpaceDE w:val="0"/>
        <w:autoSpaceDN w:val="0"/>
        <w:adjustRightInd w:val="0"/>
        <w:ind w:firstLine="708"/>
        <w:jc w:val="both"/>
        <w:rPr>
          <w:sz w:val="28"/>
          <w:szCs w:val="28"/>
        </w:rPr>
      </w:pPr>
      <w:r w:rsidRPr="00511686">
        <w:rPr>
          <w:sz w:val="28"/>
          <w:szCs w:val="28"/>
        </w:rPr>
        <w:t xml:space="preserve">Неоднократны были и случаи одностороннего отказа заказчика от исполнения муниципального контракта. Так, из 9 таких решений в силу вступили 4 решения. </w:t>
      </w:r>
    </w:p>
    <w:p w14:paraId="71457AF9" w14:textId="45764E1E" w:rsidR="00800D3F" w:rsidRDefault="00800D3F" w:rsidP="00800D3F">
      <w:pPr>
        <w:autoSpaceDE w:val="0"/>
        <w:autoSpaceDN w:val="0"/>
        <w:adjustRightInd w:val="0"/>
        <w:ind w:firstLine="708"/>
        <w:jc w:val="both"/>
        <w:rPr>
          <w:sz w:val="28"/>
          <w:szCs w:val="28"/>
        </w:rPr>
      </w:pPr>
      <w:r>
        <w:rPr>
          <w:sz w:val="28"/>
          <w:szCs w:val="28"/>
        </w:rPr>
        <w:t xml:space="preserve">Динамика числа муниципальных контрактов, расторгнутых в результате одностороннего отказа заказчика от исполнения контракта в период 2017-2020 гг. представлена на диаграмме </w:t>
      </w:r>
      <w:r w:rsidR="00E60376">
        <w:rPr>
          <w:sz w:val="28"/>
          <w:szCs w:val="28"/>
        </w:rPr>
        <w:t>7</w:t>
      </w:r>
      <w:r>
        <w:rPr>
          <w:sz w:val="28"/>
          <w:szCs w:val="28"/>
        </w:rPr>
        <w:t>.</w:t>
      </w:r>
    </w:p>
    <w:p w14:paraId="118BA955" w14:textId="77777777" w:rsidR="00800D3F" w:rsidRDefault="00800D3F" w:rsidP="00800D3F">
      <w:pPr>
        <w:autoSpaceDE w:val="0"/>
        <w:autoSpaceDN w:val="0"/>
        <w:adjustRightInd w:val="0"/>
        <w:ind w:firstLine="708"/>
        <w:jc w:val="both"/>
        <w:rPr>
          <w:sz w:val="28"/>
          <w:szCs w:val="28"/>
        </w:rPr>
      </w:pPr>
    </w:p>
    <w:p w14:paraId="35EBD38F" w14:textId="568F4AE0" w:rsidR="00800D3F" w:rsidRDefault="00800D3F" w:rsidP="00800D3F">
      <w:pPr>
        <w:autoSpaceDE w:val="0"/>
        <w:autoSpaceDN w:val="0"/>
        <w:adjustRightInd w:val="0"/>
        <w:ind w:firstLine="708"/>
        <w:jc w:val="right"/>
        <w:rPr>
          <w:sz w:val="28"/>
          <w:szCs w:val="28"/>
        </w:rPr>
      </w:pPr>
      <w:r>
        <w:rPr>
          <w:sz w:val="28"/>
          <w:szCs w:val="28"/>
        </w:rPr>
        <w:t xml:space="preserve">Диаграмма </w:t>
      </w:r>
      <w:r w:rsidR="00E60376">
        <w:rPr>
          <w:sz w:val="28"/>
          <w:szCs w:val="28"/>
        </w:rPr>
        <w:t>7</w:t>
      </w:r>
    </w:p>
    <w:p w14:paraId="52385FB8" w14:textId="0A03F30E" w:rsidR="00E60376" w:rsidRDefault="00E60376" w:rsidP="00800D3F">
      <w:pPr>
        <w:autoSpaceDE w:val="0"/>
        <w:autoSpaceDN w:val="0"/>
        <w:adjustRightInd w:val="0"/>
        <w:ind w:firstLine="708"/>
        <w:jc w:val="right"/>
        <w:rPr>
          <w:sz w:val="28"/>
          <w:szCs w:val="28"/>
        </w:rPr>
      </w:pPr>
      <w:r>
        <w:rPr>
          <w:noProof/>
          <w:sz w:val="28"/>
          <w:szCs w:val="28"/>
        </w:rPr>
        <w:drawing>
          <wp:inline distT="0" distB="0" distL="0" distR="0" wp14:anchorId="549017C2" wp14:editId="72AC8979">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1FD8D6" w14:textId="4802E4D7" w:rsidR="00800D3F" w:rsidRDefault="00800D3F" w:rsidP="00800D3F">
      <w:pPr>
        <w:autoSpaceDE w:val="0"/>
        <w:autoSpaceDN w:val="0"/>
        <w:adjustRightInd w:val="0"/>
        <w:ind w:firstLine="708"/>
        <w:jc w:val="both"/>
        <w:rPr>
          <w:sz w:val="28"/>
          <w:szCs w:val="28"/>
        </w:rPr>
      </w:pPr>
    </w:p>
    <w:p w14:paraId="67CE52F2" w14:textId="77777777" w:rsidR="00800D3F" w:rsidRPr="00511686" w:rsidRDefault="00800D3F" w:rsidP="00800D3F">
      <w:pPr>
        <w:autoSpaceDE w:val="0"/>
        <w:autoSpaceDN w:val="0"/>
        <w:adjustRightInd w:val="0"/>
        <w:ind w:firstLine="708"/>
        <w:jc w:val="both"/>
        <w:rPr>
          <w:sz w:val="28"/>
          <w:szCs w:val="28"/>
        </w:rPr>
      </w:pPr>
    </w:p>
    <w:p w14:paraId="7150F982" w14:textId="77777777" w:rsidR="00800D3F" w:rsidRDefault="00800D3F" w:rsidP="00800D3F">
      <w:pPr>
        <w:autoSpaceDE w:val="0"/>
        <w:autoSpaceDN w:val="0"/>
        <w:adjustRightInd w:val="0"/>
        <w:ind w:firstLine="708"/>
        <w:jc w:val="both"/>
        <w:rPr>
          <w:sz w:val="23"/>
          <w:szCs w:val="23"/>
        </w:rPr>
      </w:pPr>
    </w:p>
    <w:p w14:paraId="4A80EA22" w14:textId="77777777" w:rsidR="00800D3F" w:rsidRPr="008F0BE9" w:rsidRDefault="00800D3F" w:rsidP="00800D3F">
      <w:pPr>
        <w:autoSpaceDE w:val="0"/>
        <w:autoSpaceDN w:val="0"/>
        <w:adjustRightInd w:val="0"/>
        <w:ind w:firstLine="708"/>
        <w:jc w:val="both"/>
        <w:rPr>
          <w:sz w:val="28"/>
          <w:szCs w:val="28"/>
        </w:rPr>
      </w:pPr>
      <w:r w:rsidRPr="008F0BE9">
        <w:rPr>
          <w:sz w:val="28"/>
          <w:szCs w:val="28"/>
        </w:rPr>
        <w:t>Как видно из диаграммы, наибольшее число контрактов, расторгнутых по инициативе заказчика, пришлось на 2020 год.</w:t>
      </w:r>
    </w:p>
    <w:p w14:paraId="4EA30892" w14:textId="77777777" w:rsidR="00800D3F" w:rsidRDefault="00800D3F" w:rsidP="00800D3F">
      <w:pPr>
        <w:autoSpaceDE w:val="0"/>
        <w:autoSpaceDN w:val="0"/>
        <w:adjustRightInd w:val="0"/>
        <w:ind w:firstLine="708"/>
        <w:jc w:val="both"/>
        <w:rPr>
          <w:sz w:val="28"/>
          <w:szCs w:val="28"/>
        </w:rPr>
      </w:pPr>
      <w:r w:rsidRPr="008F0BE9">
        <w:rPr>
          <w:sz w:val="28"/>
          <w:szCs w:val="28"/>
        </w:rPr>
        <w:t>Безусловно, это стало крайней мерой, поскольку заказчик понимает, что принятие решения об одностороннем отказе о</w:t>
      </w:r>
      <w:r>
        <w:rPr>
          <w:sz w:val="28"/>
          <w:szCs w:val="28"/>
        </w:rPr>
        <w:t>т</w:t>
      </w:r>
      <w:r w:rsidRPr="008F0BE9">
        <w:rPr>
          <w:sz w:val="28"/>
          <w:szCs w:val="28"/>
        </w:rPr>
        <w:t xml:space="preserve"> исполнения муниципального контракта должно применяться только в крайнем случае, поскольку это влечет дополнительные трудозатраты по проведению новых закупочных процедур и при этом возрастает вероятность повышения цены закупаемой продукции.</w:t>
      </w:r>
    </w:p>
    <w:p w14:paraId="5F8CAA4B" w14:textId="77777777" w:rsidR="00800D3F" w:rsidRDefault="00800D3F" w:rsidP="00800D3F">
      <w:pPr>
        <w:autoSpaceDE w:val="0"/>
        <w:autoSpaceDN w:val="0"/>
        <w:adjustRightInd w:val="0"/>
        <w:ind w:firstLine="708"/>
        <w:jc w:val="both"/>
        <w:rPr>
          <w:b/>
          <w:sz w:val="28"/>
          <w:szCs w:val="28"/>
        </w:rPr>
      </w:pPr>
      <w:r>
        <w:rPr>
          <w:sz w:val="28"/>
          <w:szCs w:val="28"/>
        </w:rPr>
        <w:t xml:space="preserve">Поскольку исполнители по данным муниципальным контрактам были внесены Федеральной антимонопольной службой в реестр недобросовестных поставщиков (подрядчиков, исполнителей), у заказчика возникла возможность заключения контракта для завершения работ по частично исполненным контрактам со вторым участником закупки. В 2020 году Администрация применила данную норму по </w:t>
      </w:r>
      <w:r w:rsidRPr="008F0BE9">
        <w:rPr>
          <w:b/>
          <w:sz w:val="28"/>
          <w:szCs w:val="28"/>
        </w:rPr>
        <w:t>2 контрактам.</w:t>
      </w:r>
    </w:p>
    <w:p w14:paraId="363D1D7C" w14:textId="409E20CF" w:rsidR="00C83D64" w:rsidRPr="00C83D64" w:rsidRDefault="00C83D64" w:rsidP="00C83D64">
      <w:pPr>
        <w:pStyle w:val="50"/>
        <w:shd w:val="clear" w:color="auto" w:fill="auto"/>
        <w:tabs>
          <w:tab w:val="left" w:pos="1439"/>
        </w:tabs>
        <w:spacing w:before="0" w:after="0" w:line="240" w:lineRule="auto"/>
        <w:ind w:firstLine="0"/>
        <w:rPr>
          <w:rFonts w:ascii="Times New Roman" w:hAnsi="Times New Roman"/>
          <w:sz w:val="28"/>
          <w:szCs w:val="28"/>
        </w:rPr>
      </w:pPr>
      <w:r w:rsidRPr="00C83D64">
        <w:rPr>
          <w:rStyle w:val="511pt"/>
          <w:rFonts w:ascii="Times New Roman" w:hAnsi="Times New Roman"/>
          <w:b w:val="0"/>
          <w:bCs w:val="0"/>
          <w:sz w:val="28"/>
          <w:szCs w:val="28"/>
        </w:rPr>
        <w:t xml:space="preserve">             Также специалистами Отдела проведена работа </w:t>
      </w:r>
      <w:r w:rsidRPr="00C83D64">
        <w:rPr>
          <w:rFonts w:ascii="Times New Roman" w:hAnsi="Times New Roman"/>
          <w:color w:val="000000"/>
          <w:sz w:val="28"/>
          <w:szCs w:val="28"/>
          <w:lang w:eastAsia="ru-RU" w:bidi="ru-RU"/>
        </w:rPr>
        <w:t>с контролирующими органами в сфере закупок, а именно:</w:t>
      </w:r>
    </w:p>
    <w:p w14:paraId="61A0E381" w14:textId="2EF7367C" w:rsidR="00C83D64" w:rsidRPr="00C83D64" w:rsidRDefault="00C83D64" w:rsidP="00C83D64">
      <w:pPr>
        <w:pStyle w:val="50"/>
        <w:shd w:val="clear" w:color="auto" w:fill="auto"/>
        <w:tabs>
          <w:tab w:val="left" w:pos="2170"/>
        </w:tabs>
        <w:spacing w:before="0" w:after="0" w:line="240" w:lineRule="auto"/>
        <w:ind w:firstLine="0"/>
        <w:rPr>
          <w:rFonts w:ascii="Times New Roman" w:hAnsi="Times New Roman"/>
          <w:b/>
          <w:sz w:val="28"/>
          <w:szCs w:val="28"/>
        </w:rPr>
      </w:pPr>
      <w:r w:rsidRPr="00C83D64">
        <w:rPr>
          <w:rStyle w:val="511pt"/>
          <w:rFonts w:ascii="Times New Roman" w:hAnsi="Times New Roman"/>
          <w:sz w:val="28"/>
          <w:szCs w:val="28"/>
        </w:rPr>
        <w:t xml:space="preserve">- по опротестованию жалоб участников </w:t>
      </w:r>
      <w:r w:rsidRPr="00C83D64">
        <w:rPr>
          <w:rFonts w:ascii="Times New Roman" w:hAnsi="Times New Roman"/>
          <w:color w:val="000000"/>
          <w:sz w:val="28"/>
          <w:szCs w:val="28"/>
          <w:lang w:eastAsia="ru-RU" w:bidi="ru-RU"/>
        </w:rPr>
        <w:t>закупок на действия (бездействие) «Заказчика» и единой комиссии по осуществлению закупок товаров, работ услуг для нужд Администрации муниципального образования «Вяземский район» Смоленской области в УФАС по Смоленской области,</w:t>
      </w:r>
      <w:r w:rsidRPr="00C83D64">
        <w:rPr>
          <w:rFonts w:ascii="Times New Roman" w:hAnsi="Times New Roman"/>
          <w:b/>
          <w:color w:val="000000"/>
          <w:sz w:val="28"/>
          <w:szCs w:val="28"/>
          <w:lang w:eastAsia="ru-RU" w:bidi="ru-RU"/>
        </w:rPr>
        <w:t xml:space="preserve"> </w:t>
      </w:r>
      <w:r w:rsidRPr="00C83D64">
        <w:rPr>
          <w:rStyle w:val="511pt"/>
          <w:rFonts w:ascii="Times New Roman" w:hAnsi="Times New Roman"/>
          <w:sz w:val="28"/>
          <w:szCs w:val="28"/>
        </w:rPr>
        <w:t xml:space="preserve">в количестве — </w:t>
      </w:r>
      <w:r w:rsidR="00066120">
        <w:rPr>
          <w:rStyle w:val="511pt"/>
          <w:rFonts w:ascii="Times New Roman" w:hAnsi="Times New Roman"/>
          <w:sz w:val="28"/>
          <w:szCs w:val="28"/>
        </w:rPr>
        <w:t>6ти</w:t>
      </w:r>
      <w:r w:rsidRPr="00C83D64">
        <w:rPr>
          <w:rStyle w:val="511pt"/>
          <w:rFonts w:ascii="Times New Roman" w:hAnsi="Times New Roman"/>
          <w:sz w:val="28"/>
          <w:szCs w:val="28"/>
        </w:rPr>
        <w:t xml:space="preserve"> жалоб. </w:t>
      </w:r>
      <w:r w:rsidR="00066120">
        <w:rPr>
          <w:rStyle w:val="511pt"/>
          <w:rFonts w:ascii="Times New Roman" w:hAnsi="Times New Roman"/>
          <w:sz w:val="28"/>
          <w:szCs w:val="28"/>
        </w:rPr>
        <w:t>Среди них всего одна жалоба была признана обоснованной.</w:t>
      </w:r>
    </w:p>
    <w:p w14:paraId="7444B44F" w14:textId="0305B095" w:rsidR="00C83D64" w:rsidRPr="00C83D64" w:rsidRDefault="00C83D64" w:rsidP="00C83D64">
      <w:pPr>
        <w:pStyle w:val="50"/>
        <w:shd w:val="clear" w:color="auto" w:fill="auto"/>
        <w:tabs>
          <w:tab w:val="left" w:pos="2170"/>
        </w:tabs>
        <w:spacing w:before="0" w:after="0" w:line="240" w:lineRule="auto"/>
        <w:ind w:firstLine="0"/>
        <w:rPr>
          <w:rFonts w:ascii="Times New Roman" w:hAnsi="Times New Roman"/>
          <w:sz w:val="28"/>
          <w:szCs w:val="28"/>
          <w:lang w:eastAsia="ru-RU" w:bidi="ru-RU"/>
        </w:rPr>
      </w:pPr>
      <w:r w:rsidRPr="00C83D64">
        <w:rPr>
          <w:rFonts w:ascii="Times New Roman" w:hAnsi="Times New Roman"/>
          <w:color w:val="000000"/>
          <w:sz w:val="28"/>
          <w:szCs w:val="28"/>
          <w:lang w:eastAsia="ru-RU" w:bidi="ru-RU"/>
        </w:rPr>
        <w:t xml:space="preserve">- по </w:t>
      </w:r>
      <w:r w:rsidRPr="00C83D64">
        <w:rPr>
          <w:rStyle w:val="511pt"/>
          <w:rFonts w:ascii="Times New Roman" w:hAnsi="Times New Roman"/>
          <w:sz w:val="28"/>
          <w:szCs w:val="28"/>
        </w:rPr>
        <w:t xml:space="preserve">обращению в УФАС </w:t>
      </w:r>
      <w:r w:rsidRPr="00C83D64">
        <w:rPr>
          <w:rFonts w:ascii="Times New Roman" w:hAnsi="Times New Roman"/>
          <w:b/>
          <w:color w:val="000000"/>
          <w:sz w:val="28"/>
          <w:szCs w:val="28"/>
          <w:lang w:eastAsia="ru-RU" w:bidi="ru-RU"/>
        </w:rPr>
        <w:t>по Смоленской области</w:t>
      </w:r>
      <w:r w:rsidRPr="00C83D64">
        <w:rPr>
          <w:rFonts w:ascii="Times New Roman" w:hAnsi="Times New Roman"/>
          <w:color w:val="000000"/>
          <w:sz w:val="28"/>
          <w:szCs w:val="28"/>
          <w:lang w:eastAsia="ru-RU" w:bidi="ru-RU"/>
        </w:rPr>
        <w:t xml:space="preserve"> для решения вопроса </w:t>
      </w:r>
      <w:r w:rsidRPr="00C83D64">
        <w:rPr>
          <w:rStyle w:val="511pt"/>
          <w:rFonts w:ascii="Times New Roman" w:hAnsi="Times New Roman"/>
          <w:sz w:val="28"/>
          <w:szCs w:val="28"/>
        </w:rPr>
        <w:t xml:space="preserve">о включении в реестр недобросовестных поставщиков в отношении участников закупок — </w:t>
      </w:r>
      <w:r w:rsidR="00066120">
        <w:rPr>
          <w:rStyle w:val="511pt"/>
          <w:rFonts w:ascii="Times New Roman" w:hAnsi="Times New Roman"/>
          <w:sz w:val="28"/>
          <w:szCs w:val="28"/>
        </w:rPr>
        <w:t>4</w:t>
      </w:r>
      <w:r w:rsidRPr="00C83D64">
        <w:rPr>
          <w:rStyle w:val="511pt"/>
          <w:rFonts w:ascii="Times New Roman" w:hAnsi="Times New Roman"/>
          <w:sz w:val="28"/>
          <w:szCs w:val="28"/>
        </w:rPr>
        <w:t xml:space="preserve"> обращения. </w:t>
      </w:r>
      <w:r w:rsidRPr="00C83D64">
        <w:rPr>
          <w:rFonts w:ascii="Times New Roman" w:hAnsi="Times New Roman"/>
          <w:sz w:val="28"/>
          <w:szCs w:val="28"/>
          <w:lang w:eastAsia="ru-RU" w:bidi="ru-RU"/>
        </w:rPr>
        <w:t xml:space="preserve">Поводом обращений послужило </w:t>
      </w:r>
      <w:r w:rsidR="00066120">
        <w:rPr>
          <w:rFonts w:ascii="Times New Roman" w:hAnsi="Times New Roman"/>
          <w:sz w:val="28"/>
          <w:szCs w:val="28"/>
          <w:lang w:eastAsia="ru-RU" w:bidi="ru-RU"/>
        </w:rPr>
        <w:t>одностороннее расторжение контракта по инициативе заказчика.</w:t>
      </w:r>
      <w:r w:rsidRPr="00C83D64">
        <w:rPr>
          <w:rFonts w:ascii="Times New Roman" w:hAnsi="Times New Roman"/>
          <w:sz w:val="28"/>
          <w:szCs w:val="28"/>
          <w:lang w:eastAsia="ru-RU" w:bidi="ru-RU"/>
        </w:rPr>
        <w:t xml:space="preserve"> </w:t>
      </w:r>
    </w:p>
    <w:p w14:paraId="3F9A7FB6" w14:textId="5550CCB7" w:rsidR="00800D3F" w:rsidRDefault="00066120" w:rsidP="00800D3F">
      <w:pPr>
        <w:autoSpaceDE w:val="0"/>
        <w:autoSpaceDN w:val="0"/>
        <w:adjustRightInd w:val="0"/>
        <w:ind w:firstLine="708"/>
        <w:jc w:val="both"/>
        <w:rPr>
          <w:bCs/>
          <w:sz w:val="28"/>
          <w:szCs w:val="28"/>
        </w:rPr>
      </w:pPr>
      <w:r w:rsidRPr="00066120">
        <w:rPr>
          <w:bCs/>
          <w:sz w:val="28"/>
          <w:szCs w:val="28"/>
        </w:rPr>
        <w:t>Таким образом, можно сделать вывод о том, что, в целом, 2020 год был продуктивным в плане реализации политики гласности и прозрачности закупочной деятельности</w:t>
      </w:r>
      <w:r>
        <w:rPr>
          <w:bCs/>
          <w:sz w:val="28"/>
          <w:szCs w:val="28"/>
        </w:rPr>
        <w:t>, роста экономии бюджетных средств, увеличения доли участия в закупках СМП и СОНКО.</w:t>
      </w:r>
    </w:p>
    <w:p w14:paraId="4989BCB4" w14:textId="256DFC47" w:rsidR="00066120" w:rsidRDefault="00066120" w:rsidP="00066120">
      <w:pPr>
        <w:ind w:firstLine="708"/>
        <w:jc w:val="both"/>
        <w:rPr>
          <w:sz w:val="28"/>
          <w:szCs w:val="28"/>
        </w:rPr>
      </w:pPr>
      <w:r>
        <w:rPr>
          <w:sz w:val="28"/>
          <w:szCs w:val="28"/>
        </w:rPr>
        <w:t>Основными задачами Отдела на 2021 год являются:</w:t>
      </w:r>
    </w:p>
    <w:p w14:paraId="12D5ABDA" w14:textId="77777777" w:rsidR="00066120" w:rsidRDefault="00066120" w:rsidP="00066120">
      <w:pPr>
        <w:ind w:firstLine="708"/>
        <w:jc w:val="both"/>
        <w:rPr>
          <w:sz w:val="28"/>
          <w:szCs w:val="28"/>
        </w:rPr>
      </w:pPr>
      <w:r>
        <w:rPr>
          <w:sz w:val="28"/>
          <w:szCs w:val="28"/>
        </w:rPr>
        <w:t>- совершенствование профессиональных знаний, навыков и умений специалистов Отдела;</w:t>
      </w:r>
    </w:p>
    <w:p w14:paraId="2A2E74FB" w14:textId="77777777" w:rsidR="00066120" w:rsidRDefault="00066120" w:rsidP="00066120">
      <w:pPr>
        <w:ind w:firstLine="708"/>
        <w:jc w:val="both"/>
        <w:rPr>
          <w:sz w:val="28"/>
          <w:szCs w:val="28"/>
        </w:rPr>
      </w:pPr>
      <w:r>
        <w:rPr>
          <w:sz w:val="28"/>
          <w:szCs w:val="28"/>
        </w:rPr>
        <w:t>- развитие конкуренции среди участников закупок;</w:t>
      </w:r>
    </w:p>
    <w:p w14:paraId="534A9028" w14:textId="77777777" w:rsidR="00066120" w:rsidRDefault="00066120" w:rsidP="00066120">
      <w:pPr>
        <w:ind w:firstLine="708"/>
        <w:jc w:val="both"/>
        <w:rPr>
          <w:sz w:val="28"/>
          <w:szCs w:val="28"/>
        </w:rPr>
      </w:pPr>
      <w:r>
        <w:rPr>
          <w:sz w:val="28"/>
          <w:szCs w:val="28"/>
        </w:rPr>
        <w:t>- поддержка субъектов малого предпринимательства и социально-ориентированных некоммерческих организаций.;</w:t>
      </w:r>
    </w:p>
    <w:p w14:paraId="271C7469" w14:textId="48D3D959" w:rsidR="00066120" w:rsidRPr="009F1906" w:rsidRDefault="00066120" w:rsidP="00066120">
      <w:pPr>
        <w:ind w:firstLine="708"/>
        <w:jc w:val="both"/>
        <w:rPr>
          <w:sz w:val="28"/>
          <w:szCs w:val="28"/>
        </w:rPr>
      </w:pPr>
      <w:r>
        <w:rPr>
          <w:sz w:val="28"/>
          <w:szCs w:val="28"/>
        </w:rPr>
        <w:t>- экономия бюджетных средств.</w:t>
      </w:r>
    </w:p>
    <w:p w14:paraId="17CA5E20" w14:textId="77777777" w:rsidR="00066120" w:rsidRPr="00066120" w:rsidRDefault="00066120" w:rsidP="00800D3F">
      <w:pPr>
        <w:autoSpaceDE w:val="0"/>
        <w:autoSpaceDN w:val="0"/>
        <w:adjustRightInd w:val="0"/>
        <w:ind w:firstLine="708"/>
        <w:jc w:val="both"/>
        <w:rPr>
          <w:bCs/>
          <w:sz w:val="28"/>
          <w:szCs w:val="28"/>
        </w:rPr>
      </w:pPr>
    </w:p>
    <w:p w14:paraId="5874EDB9" w14:textId="208C110C" w:rsidR="00800D3F" w:rsidRDefault="00800D3F" w:rsidP="00066120">
      <w:pPr>
        <w:pStyle w:val="ab"/>
        <w:jc w:val="both"/>
        <w:rPr>
          <w:rFonts w:ascii="Times New Roman" w:hAnsi="Times New Roman"/>
          <w:color w:val="000000" w:themeColor="text1"/>
          <w:sz w:val="28"/>
          <w:szCs w:val="28"/>
        </w:rPr>
      </w:pPr>
      <w:r>
        <w:rPr>
          <w:rFonts w:ascii="Times New Roman" w:hAnsi="Times New Roman"/>
          <w:b/>
          <w:color w:val="FF0000"/>
          <w:sz w:val="28"/>
          <w:szCs w:val="28"/>
        </w:rPr>
        <w:tab/>
      </w:r>
    </w:p>
    <w:p w14:paraId="18D0A6BB" w14:textId="77777777" w:rsidR="00800D3F" w:rsidRDefault="00800D3F" w:rsidP="00800D3F">
      <w:pPr>
        <w:pStyle w:val="ab"/>
        <w:jc w:val="both"/>
        <w:rPr>
          <w:rFonts w:ascii="Times New Roman" w:hAnsi="Times New Roman"/>
          <w:color w:val="000000" w:themeColor="text1"/>
          <w:sz w:val="28"/>
          <w:szCs w:val="28"/>
        </w:rPr>
      </w:pPr>
    </w:p>
    <w:p w14:paraId="17990337" w14:textId="77777777" w:rsidR="00800D3F" w:rsidRDefault="00800D3F" w:rsidP="00800D3F">
      <w:pPr>
        <w:pStyle w:val="ab"/>
        <w:jc w:val="both"/>
        <w:rPr>
          <w:rFonts w:ascii="Times New Roman" w:hAnsi="Times New Roman"/>
          <w:color w:val="000000" w:themeColor="text1"/>
          <w:sz w:val="28"/>
          <w:szCs w:val="28"/>
        </w:rPr>
      </w:pPr>
    </w:p>
    <w:p w14:paraId="641D200F" w14:textId="77777777" w:rsidR="00800D3F" w:rsidRPr="00D22B09" w:rsidRDefault="00800D3F" w:rsidP="00800D3F">
      <w:pPr>
        <w:jc w:val="both"/>
        <w:rPr>
          <w:sz w:val="26"/>
          <w:szCs w:val="26"/>
        </w:rPr>
      </w:pPr>
    </w:p>
    <w:p w14:paraId="0CDECF0C" w14:textId="1C827277" w:rsidR="00425B78" w:rsidRDefault="00425B78" w:rsidP="002D012F">
      <w:pPr>
        <w:jc w:val="both"/>
        <w:rPr>
          <w:sz w:val="28"/>
          <w:szCs w:val="28"/>
        </w:rPr>
      </w:pPr>
    </w:p>
    <w:p w14:paraId="18ADAFC0" w14:textId="56CAB704" w:rsidR="002C7B96" w:rsidRDefault="002C7B96" w:rsidP="00EA6936">
      <w:pPr>
        <w:spacing w:line="240" w:lineRule="exact"/>
        <w:jc w:val="both"/>
      </w:pPr>
    </w:p>
    <w:sectPr w:rsidR="002C7B96" w:rsidSect="009E6F58">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35E0B" w14:textId="77777777" w:rsidR="009C1BA7" w:rsidRDefault="009C1BA7" w:rsidP="00FE1EAE">
      <w:r>
        <w:separator/>
      </w:r>
    </w:p>
  </w:endnote>
  <w:endnote w:type="continuationSeparator" w:id="0">
    <w:p w14:paraId="30B6889B" w14:textId="77777777" w:rsidR="009C1BA7" w:rsidRDefault="009C1BA7" w:rsidP="00FE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8821F" w14:textId="77777777" w:rsidR="009C1BA7" w:rsidRDefault="009C1BA7" w:rsidP="00FE1EAE">
      <w:r>
        <w:separator/>
      </w:r>
    </w:p>
  </w:footnote>
  <w:footnote w:type="continuationSeparator" w:id="0">
    <w:p w14:paraId="08EEA583" w14:textId="77777777" w:rsidR="009C1BA7" w:rsidRDefault="009C1BA7" w:rsidP="00FE1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73594"/>
      <w:docPartObj>
        <w:docPartGallery w:val="Page Numbers (Top of Page)"/>
        <w:docPartUnique/>
      </w:docPartObj>
    </w:sdtPr>
    <w:sdtEndPr/>
    <w:sdtContent>
      <w:p w14:paraId="5B94E269" w14:textId="24E217AB" w:rsidR="00FE1EAE" w:rsidRDefault="00FE1EAE">
        <w:pPr>
          <w:pStyle w:val="a6"/>
          <w:jc w:val="center"/>
        </w:pPr>
        <w:r>
          <w:fldChar w:fldCharType="begin"/>
        </w:r>
        <w:r>
          <w:instrText>PAGE   \* MERGEFORMAT</w:instrText>
        </w:r>
        <w:r>
          <w:fldChar w:fldCharType="separate"/>
        </w:r>
        <w:r w:rsidR="005C7756">
          <w:rPr>
            <w:noProof/>
          </w:rPr>
          <w:t>13</w:t>
        </w:r>
        <w:r>
          <w:fldChar w:fldCharType="end"/>
        </w:r>
      </w:p>
    </w:sdtContent>
  </w:sdt>
  <w:p w14:paraId="5BE75900" w14:textId="77777777" w:rsidR="00FE1EAE" w:rsidRDefault="00FE1E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B2ABF"/>
    <w:multiLevelType w:val="hybridMultilevel"/>
    <w:tmpl w:val="46A24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96BCE"/>
    <w:multiLevelType w:val="hybridMultilevel"/>
    <w:tmpl w:val="3E6E889C"/>
    <w:lvl w:ilvl="0" w:tplc="854AC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F0"/>
    <w:rsid w:val="0002006B"/>
    <w:rsid w:val="000219F4"/>
    <w:rsid w:val="000363F5"/>
    <w:rsid w:val="00045A9D"/>
    <w:rsid w:val="000511F4"/>
    <w:rsid w:val="00066120"/>
    <w:rsid w:val="0007172E"/>
    <w:rsid w:val="000917E6"/>
    <w:rsid w:val="00094F2D"/>
    <w:rsid w:val="000960F1"/>
    <w:rsid w:val="00096260"/>
    <w:rsid w:val="000B4BD1"/>
    <w:rsid w:val="000C0552"/>
    <w:rsid w:val="000C3540"/>
    <w:rsid w:val="000C4876"/>
    <w:rsid w:val="000D34F0"/>
    <w:rsid w:val="000D36D3"/>
    <w:rsid w:val="000E0E61"/>
    <w:rsid w:val="000E4EC6"/>
    <w:rsid w:val="000F6E3B"/>
    <w:rsid w:val="00111D5E"/>
    <w:rsid w:val="00125745"/>
    <w:rsid w:val="0012672E"/>
    <w:rsid w:val="001379F7"/>
    <w:rsid w:val="00147CCE"/>
    <w:rsid w:val="00151CED"/>
    <w:rsid w:val="00171261"/>
    <w:rsid w:val="00175042"/>
    <w:rsid w:val="00180310"/>
    <w:rsid w:val="001B36BD"/>
    <w:rsid w:val="001D2A8E"/>
    <w:rsid w:val="002044BE"/>
    <w:rsid w:val="002050A4"/>
    <w:rsid w:val="00216CF7"/>
    <w:rsid w:val="00227F9D"/>
    <w:rsid w:val="002423F2"/>
    <w:rsid w:val="00252669"/>
    <w:rsid w:val="00253B64"/>
    <w:rsid w:val="002858D5"/>
    <w:rsid w:val="00292696"/>
    <w:rsid w:val="00294807"/>
    <w:rsid w:val="002B3500"/>
    <w:rsid w:val="002C375A"/>
    <w:rsid w:val="002C54B5"/>
    <w:rsid w:val="002C7B96"/>
    <w:rsid w:val="002D012F"/>
    <w:rsid w:val="002D07CF"/>
    <w:rsid w:val="002E08A4"/>
    <w:rsid w:val="002E217F"/>
    <w:rsid w:val="002E2A7B"/>
    <w:rsid w:val="002E76FC"/>
    <w:rsid w:val="002F1D37"/>
    <w:rsid w:val="00306658"/>
    <w:rsid w:val="0031441B"/>
    <w:rsid w:val="00325DA5"/>
    <w:rsid w:val="0034325D"/>
    <w:rsid w:val="00354FAC"/>
    <w:rsid w:val="003568CE"/>
    <w:rsid w:val="00356C25"/>
    <w:rsid w:val="00394B90"/>
    <w:rsid w:val="003B3E8B"/>
    <w:rsid w:val="003B4405"/>
    <w:rsid w:val="003B5AE3"/>
    <w:rsid w:val="003D52DE"/>
    <w:rsid w:val="00412999"/>
    <w:rsid w:val="00425B78"/>
    <w:rsid w:val="00432BCA"/>
    <w:rsid w:val="00447B34"/>
    <w:rsid w:val="00450647"/>
    <w:rsid w:val="00452196"/>
    <w:rsid w:val="00466EF5"/>
    <w:rsid w:val="00484D3C"/>
    <w:rsid w:val="00486DA4"/>
    <w:rsid w:val="00494576"/>
    <w:rsid w:val="004A54FF"/>
    <w:rsid w:val="004A7F2C"/>
    <w:rsid w:val="004B24C8"/>
    <w:rsid w:val="004D0E73"/>
    <w:rsid w:val="004D33F5"/>
    <w:rsid w:val="004F1FA2"/>
    <w:rsid w:val="00535D94"/>
    <w:rsid w:val="00536F63"/>
    <w:rsid w:val="00544766"/>
    <w:rsid w:val="00555BAF"/>
    <w:rsid w:val="00575AF2"/>
    <w:rsid w:val="005909B8"/>
    <w:rsid w:val="0059167B"/>
    <w:rsid w:val="005962A2"/>
    <w:rsid w:val="005A16D0"/>
    <w:rsid w:val="005A5D11"/>
    <w:rsid w:val="005B1817"/>
    <w:rsid w:val="005B1E67"/>
    <w:rsid w:val="005B702A"/>
    <w:rsid w:val="005C03B2"/>
    <w:rsid w:val="005C0E03"/>
    <w:rsid w:val="005C3822"/>
    <w:rsid w:val="005C7756"/>
    <w:rsid w:val="005D38AD"/>
    <w:rsid w:val="005D7257"/>
    <w:rsid w:val="005F317B"/>
    <w:rsid w:val="00602A61"/>
    <w:rsid w:val="00602EE2"/>
    <w:rsid w:val="00610733"/>
    <w:rsid w:val="00625C3C"/>
    <w:rsid w:val="00631D7E"/>
    <w:rsid w:val="00636CE6"/>
    <w:rsid w:val="00640D3F"/>
    <w:rsid w:val="00657B64"/>
    <w:rsid w:val="00665BE1"/>
    <w:rsid w:val="006736CC"/>
    <w:rsid w:val="00673B52"/>
    <w:rsid w:val="0069359A"/>
    <w:rsid w:val="0069533F"/>
    <w:rsid w:val="006A492D"/>
    <w:rsid w:val="006C76F9"/>
    <w:rsid w:val="006E75EE"/>
    <w:rsid w:val="006F15BD"/>
    <w:rsid w:val="00710C16"/>
    <w:rsid w:val="00711B50"/>
    <w:rsid w:val="00714827"/>
    <w:rsid w:val="007179DE"/>
    <w:rsid w:val="00722444"/>
    <w:rsid w:val="00723627"/>
    <w:rsid w:val="00731512"/>
    <w:rsid w:val="0075001E"/>
    <w:rsid w:val="0075550D"/>
    <w:rsid w:val="00765974"/>
    <w:rsid w:val="0076736F"/>
    <w:rsid w:val="00774B19"/>
    <w:rsid w:val="007766ED"/>
    <w:rsid w:val="0078147F"/>
    <w:rsid w:val="007C4ACE"/>
    <w:rsid w:val="007F07CC"/>
    <w:rsid w:val="00800D3F"/>
    <w:rsid w:val="00814C4C"/>
    <w:rsid w:val="00822B31"/>
    <w:rsid w:val="00851225"/>
    <w:rsid w:val="008542E5"/>
    <w:rsid w:val="00856026"/>
    <w:rsid w:val="00881F76"/>
    <w:rsid w:val="0088240F"/>
    <w:rsid w:val="00890E78"/>
    <w:rsid w:val="008C42B5"/>
    <w:rsid w:val="008D2871"/>
    <w:rsid w:val="008D6900"/>
    <w:rsid w:val="008E4666"/>
    <w:rsid w:val="008F0CD0"/>
    <w:rsid w:val="008F1FCA"/>
    <w:rsid w:val="008F3B6E"/>
    <w:rsid w:val="008F42A0"/>
    <w:rsid w:val="00903290"/>
    <w:rsid w:val="0092118C"/>
    <w:rsid w:val="009338E0"/>
    <w:rsid w:val="0093426B"/>
    <w:rsid w:val="00954E5F"/>
    <w:rsid w:val="0096190D"/>
    <w:rsid w:val="00966DE5"/>
    <w:rsid w:val="00966FDF"/>
    <w:rsid w:val="00980904"/>
    <w:rsid w:val="00986359"/>
    <w:rsid w:val="009A0C0A"/>
    <w:rsid w:val="009A1FD0"/>
    <w:rsid w:val="009A7617"/>
    <w:rsid w:val="009B0921"/>
    <w:rsid w:val="009B3377"/>
    <w:rsid w:val="009B3572"/>
    <w:rsid w:val="009B48C6"/>
    <w:rsid w:val="009B6C1C"/>
    <w:rsid w:val="009C1BA7"/>
    <w:rsid w:val="009C70F3"/>
    <w:rsid w:val="009D5CBE"/>
    <w:rsid w:val="009E6F58"/>
    <w:rsid w:val="009F7308"/>
    <w:rsid w:val="00A02A94"/>
    <w:rsid w:val="00A41760"/>
    <w:rsid w:val="00A4479E"/>
    <w:rsid w:val="00A56D38"/>
    <w:rsid w:val="00A70C2D"/>
    <w:rsid w:val="00A91EE4"/>
    <w:rsid w:val="00A966D0"/>
    <w:rsid w:val="00A969F2"/>
    <w:rsid w:val="00AB4214"/>
    <w:rsid w:val="00AC64DE"/>
    <w:rsid w:val="00AD0E11"/>
    <w:rsid w:val="00AD638D"/>
    <w:rsid w:val="00AE5EB0"/>
    <w:rsid w:val="00AF7339"/>
    <w:rsid w:val="00B15122"/>
    <w:rsid w:val="00B166F7"/>
    <w:rsid w:val="00B21126"/>
    <w:rsid w:val="00B2472B"/>
    <w:rsid w:val="00B404C9"/>
    <w:rsid w:val="00B45830"/>
    <w:rsid w:val="00B73A52"/>
    <w:rsid w:val="00B82700"/>
    <w:rsid w:val="00B90D36"/>
    <w:rsid w:val="00B97B97"/>
    <w:rsid w:val="00BD2913"/>
    <w:rsid w:val="00BE1082"/>
    <w:rsid w:val="00BE1777"/>
    <w:rsid w:val="00C066A7"/>
    <w:rsid w:val="00C34883"/>
    <w:rsid w:val="00C4124B"/>
    <w:rsid w:val="00C63418"/>
    <w:rsid w:val="00C67A3A"/>
    <w:rsid w:val="00C83D64"/>
    <w:rsid w:val="00C95853"/>
    <w:rsid w:val="00C976B7"/>
    <w:rsid w:val="00CC32DF"/>
    <w:rsid w:val="00CC7041"/>
    <w:rsid w:val="00D16321"/>
    <w:rsid w:val="00D42633"/>
    <w:rsid w:val="00D45632"/>
    <w:rsid w:val="00D61EAE"/>
    <w:rsid w:val="00D62FC5"/>
    <w:rsid w:val="00D6656D"/>
    <w:rsid w:val="00D81C84"/>
    <w:rsid w:val="00D84665"/>
    <w:rsid w:val="00D92915"/>
    <w:rsid w:val="00DA05F3"/>
    <w:rsid w:val="00DD5981"/>
    <w:rsid w:val="00DD744A"/>
    <w:rsid w:val="00DE5D0E"/>
    <w:rsid w:val="00E02ECB"/>
    <w:rsid w:val="00E13FF7"/>
    <w:rsid w:val="00E2022B"/>
    <w:rsid w:val="00E25AAD"/>
    <w:rsid w:val="00E47FB3"/>
    <w:rsid w:val="00E60376"/>
    <w:rsid w:val="00E67BB1"/>
    <w:rsid w:val="00E76FF0"/>
    <w:rsid w:val="00E96456"/>
    <w:rsid w:val="00E97812"/>
    <w:rsid w:val="00EA454B"/>
    <w:rsid w:val="00EA60CE"/>
    <w:rsid w:val="00EA6936"/>
    <w:rsid w:val="00EC3B1E"/>
    <w:rsid w:val="00EC4577"/>
    <w:rsid w:val="00EE2D18"/>
    <w:rsid w:val="00EE6561"/>
    <w:rsid w:val="00EF71E7"/>
    <w:rsid w:val="00EF7DA1"/>
    <w:rsid w:val="00F1373B"/>
    <w:rsid w:val="00F1442F"/>
    <w:rsid w:val="00F16E82"/>
    <w:rsid w:val="00F2272A"/>
    <w:rsid w:val="00F46E4D"/>
    <w:rsid w:val="00F57CF0"/>
    <w:rsid w:val="00F63848"/>
    <w:rsid w:val="00F63BBD"/>
    <w:rsid w:val="00F81610"/>
    <w:rsid w:val="00F93707"/>
    <w:rsid w:val="00F93879"/>
    <w:rsid w:val="00F97C7B"/>
    <w:rsid w:val="00FA4B0E"/>
    <w:rsid w:val="00FC4BBC"/>
    <w:rsid w:val="00FC5A65"/>
    <w:rsid w:val="00FD30A6"/>
    <w:rsid w:val="00FE1EAE"/>
    <w:rsid w:val="00FF3CEF"/>
    <w:rsid w:val="00FF4B72"/>
    <w:rsid w:val="00FF7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A19734"/>
  <w15:chartTrackingRefBased/>
  <w15:docId w15:val="{B60E1703-445A-4C61-96C0-4427FBBD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4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EF5"/>
    <w:pPr>
      <w:spacing w:after="200" w:line="276" w:lineRule="auto"/>
      <w:ind w:left="720"/>
      <w:contextualSpacing/>
    </w:pPr>
    <w:rPr>
      <w:rFonts w:ascii="Calibri" w:eastAsia="Calibri" w:hAnsi="Calibri"/>
      <w:sz w:val="22"/>
      <w:szCs w:val="22"/>
    </w:rPr>
  </w:style>
  <w:style w:type="table" w:styleId="a4">
    <w:name w:val="Table Grid"/>
    <w:basedOn w:val="a1"/>
    <w:rsid w:val="0096190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3848"/>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semiHidden/>
    <w:unhideWhenUsed/>
    <w:rsid w:val="00F63848"/>
    <w:rPr>
      <w:color w:val="0000FF"/>
      <w:u w:val="single"/>
    </w:rPr>
  </w:style>
  <w:style w:type="character" w:customStyle="1" w:styleId="2">
    <w:name w:val="Основной текст (2)_"/>
    <w:basedOn w:val="a0"/>
    <w:link w:val="20"/>
    <w:rsid w:val="00111D5E"/>
    <w:rPr>
      <w:rFonts w:eastAsia="Times New Roman" w:cs="Times New Roman"/>
      <w:sz w:val="26"/>
      <w:szCs w:val="26"/>
      <w:shd w:val="clear" w:color="auto" w:fill="FFFFFF"/>
    </w:rPr>
  </w:style>
  <w:style w:type="paragraph" w:customStyle="1" w:styleId="20">
    <w:name w:val="Основной текст (2)"/>
    <w:basedOn w:val="a"/>
    <w:link w:val="2"/>
    <w:rsid w:val="00111D5E"/>
    <w:pPr>
      <w:widowControl w:val="0"/>
      <w:shd w:val="clear" w:color="auto" w:fill="FFFFFF"/>
      <w:spacing w:before="540" w:line="298" w:lineRule="exact"/>
      <w:jc w:val="both"/>
    </w:pPr>
    <w:rPr>
      <w:rFonts w:asciiTheme="minorHAnsi" w:hAnsiTheme="minorHAnsi"/>
      <w:sz w:val="26"/>
      <w:szCs w:val="26"/>
      <w:lang w:eastAsia="en-US"/>
    </w:rPr>
  </w:style>
  <w:style w:type="paragraph" w:styleId="a6">
    <w:name w:val="header"/>
    <w:basedOn w:val="a"/>
    <w:link w:val="a7"/>
    <w:uiPriority w:val="99"/>
    <w:unhideWhenUsed/>
    <w:rsid w:val="00FE1EAE"/>
    <w:pPr>
      <w:tabs>
        <w:tab w:val="center" w:pos="4677"/>
        <w:tab w:val="right" w:pos="9355"/>
      </w:tabs>
    </w:pPr>
  </w:style>
  <w:style w:type="character" w:customStyle="1" w:styleId="a7">
    <w:name w:val="Верхний колонтитул Знак"/>
    <w:basedOn w:val="a0"/>
    <w:link w:val="a6"/>
    <w:uiPriority w:val="99"/>
    <w:rsid w:val="00FE1E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E1EAE"/>
    <w:pPr>
      <w:tabs>
        <w:tab w:val="center" w:pos="4677"/>
        <w:tab w:val="right" w:pos="9355"/>
      </w:tabs>
    </w:pPr>
  </w:style>
  <w:style w:type="character" w:customStyle="1" w:styleId="a9">
    <w:name w:val="Нижний колонтитул Знак"/>
    <w:basedOn w:val="a0"/>
    <w:link w:val="a8"/>
    <w:uiPriority w:val="99"/>
    <w:rsid w:val="00FE1EAE"/>
    <w:rPr>
      <w:rFonts w:ascii="Times New Roman" w:eastAsia="Times New Roman" w:hAnsi="Times New Roman" w:cs="Times New Roman"/>
      <w:sz w:val="24"/>
      <w:szCs w:val="24"/>
      <w:lang w:eastAsia="ru-RU"/>
    </w:rPr>
  </w:style>
  <w:style w:type="paragraph" w:customStyle="1" w:styleId="ConsPlusTitle">
    <w:name w:val="ConsPlusTitle"/>
    <w:uiPriority w:val="99"/>
    <w:rsid w:val="00D61E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a">
    <w:name w:val="Без интервала Знак"/>
    <w:link w:val="ab"/>
    <w:uiPriority w:val="1"/>
    <w:locked/>
    <w:rsid w:val="00800D3F"/>
    <w:rPr>
      <w:rFonts w:ascii="Calibri" w:eastAsia="Calibri" w:hAnsi="Calibri" w:cs="Times New Roman"/>
    </w:rPr>
  </w:style>
  <w:style w:type="paragraph" w:styleId="ab">
    <w:name w:val="No Spacing"/>
    <w:link w:val="aa"/>
    <w:uiPriority w:val="1"/>
    <w:qFormat/>
    <w:rsid w:val="00800D3F"/>
    <w:pPr>
      <w:spacing w:after="0" w:line="240" w:lineRule="auto"/>
    </w:pPr>
    <w:rPr>
      <w:rFonts w:ascii="Calibri" w:eastAsia="Calibri" w:hAnsi="Calibri" w:cs="Times New Roman"/>
    </w:rPr>
  </w:style>
  <w:style w:type="paragraph" w:customStyle="1" w:styleId="Default">
    <w:name w:val="Default"/>
    <w:rsid w:val="00800D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
    <w:name w:val="Основной текст (5)_"/>
    <w:basedOn w:val="a0"/>
    <w:link w:val="50"/>
    <w:rsid w:val="00C83D64"/>
    <w:rPr>
      <w:rFonts w:eastAsia="Times New Roman" w:cs="Times New Roman"/>
      <w:sz w:val="23"/>
      <w:szCs w:val="23"/>
      <w:shd w:val="clear" w:color="auto" w:fill="FFFFFF"/>
    </w:rPr>
  </w:style>
  <w:style w:type="character" w:customStyle="1" w:styleId="511pt">
    <w:name w:val="Основной текст (5) + 11 pt;Полужирный"/>
    <w:basedOn w:val="5"/>
    <w:rsid w:val="00C83D64"/>
    <w:rPr>
      <w:rFonts w:eastAsia="Times New Roman" w:cs="Times New Roman"/>
      <w:b/>
      <w:bCs/>
      <w:color w:val="000000"/>
      <w:spacing w:val="0"/>
      <w:w w:val="100"/>
      <w:position w:val="0"/>
      <w:sz w:val="22"/>
      <w:szCs w:val="22"/>
      <w:shd w:val="clear" w:color="auto" w:fill="FFFFFF"/>
      <w:lang w:val="ru-RU" w:eastAsia="ru-RU" w:bidi="ru-RU"/>
    </w:rPr>
  </w:style>
  <w:style w:type="paragraph" w:customStyle="1" w:styleId="50">
    <w:name w:val="Основной текст (5)"/>
    <w:basedOn w:val="a"/>
    <w:link w:val="5"/>
    <w:rsid w:val="00C83D64"/>
    <w:pPr>
      <w:widowControl w:val="0"/>
      <w:shd w:val="clear" w:color="auto" w:fill="FFFFFF"/>
      <w:spacing w:before="240" w:after="240" w:line="283" w:lineRule="exact"/>
      <w:ind w:hanging="860"/>
      <w:jc w:val="both"/>
    </w:pPr>
    <w:rPr>
      <w:rFonts w:asciiTheme="minorHAnsi" w:hAnsiTheme="minorHAnsi"/>
      <w:sz w:val="23"/>
      <w:szCs w:val="23"/>
      <w:lang w:eastAsia="en-US"/>
    </w:rPr>
  </w:style>
  <w:style w:type="paragraph" w:styleId="ac">
    <w:name w:val="Balloon Text"/>
    <w:basedOn w:val="a"/>
    <w:link w:val="ad"/>
    <w:uiPriority w:val="99"/>
    <w:semiHidden/>
    <w:unhideWhenUsed/>
    <w:rsid w:val="005C7756"/>
    <w:rPr>
      <w:rFonts w:ascii="Segoe UI" w:hAnsi="Segoe UI" w:cs="Segoe UI"/>
      <w:sz w:val="18"/>
      <w:szCs w:val="18"/>
    </w:rPr>
  </w:style>
  <w:style w:type="character" w:customStyle="1" w:styleId="ad">
    <w:name w:val="Текст выноски Знак"/>
    <w:basedOn w:val="a0"/>
    <w:link w:val="ac"/>
    <w:uiPriority w:val="99"/>
    <w:semiHidden/>
    <w:rsid w:val="005C775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7628">
      <w:bodyDiv w:val="1"/>
      <w:marLeft w:val="0"/>
      <w:marRight w:val="0"/>
      <w:marTop w:val="0"/>
      <w:marBottom w:val="0"/>
      <w:divBdr>
        <w:top w:val="none" w:sz="0" w:space="0" w:color="auto"/>
        <w:left w:val="none" w:sz="0" w:space="0" w:color="auto"/>
        <w:bottom w:val="none" w:sz="0" w:space="0" w:color="auto"/>
        <w:right w:val="none" w:sz="0" w:space="0" w:color="auto"/>
      </w:divBdr>
      <w:divsChild>
        <w:div w:id="184683784">
          <w:marLeft w:val="0"/>
          <w:marRight w:val="0"/>
          <w:marTop w:val="0"/>
          <w:marBottom w:val="0"/>
          <w:divBdr>
            <w:top w:val="none" w:sz="0" w:space="0" w:color="auto"/>
            <w:left w:val="none" w:sz="0" w:space="0" w:color="auto"/>
            <w:bottom w:val="none" w:sz="0" w:space="0" w:color="auto"/>
            <w:right w:val="none" w:sz="0" w:space="0" w:color="auto"/>
          </w:divBdr>
          <w:divsChild>
            <w:div w:id="2086800215">
              <w:marLeft w:val="0"/>
              <w:marRight w:val="0"/>
              <w:marTop w:val="0"/>
              <w:marBottom w:val="0"/>
              <w:divBdr>
                <w:top w:val="none" w:sz="0" w:space="0" w:color="auto"/>
                <w:left w:val="none" w:sz="0" w:space="0" w:color="auto"/>
                <w:bottom w:val="none" w:sz="0" w:space="0" w:color="auto"/>
                <w:right w:val="none" w:sz="0" w:space="0" w:color="auto"/>
              </w:divBdr>
              <w:divsChild>
                <w:div w:id="639000919">
                  <w:marLeft w:val="0"/>
                  <w:marRight w:val="0"/>
                  <w:marTop w:val="0"/>
                  <w:marBottom w:val="0"/>
                  <w:divBdr>
                    <w:top w:val="none" w:sz="0" w:space="0" w:color="auto"/>
                    <w:left w:val="none" w:sz="0" w:space="0" w:color="auto"/>
                    <w:bottom w:val="none" w:sz="0" w:space="0" w:color="auto"/>
                    <w:right w:val="none" w:sz="0" w:space="0" w:color="auto"/>
                  </w:divBdr>
                  <w:divsChild>
                    <w:div w:id="2028827373">
                      <w:marLeft w:val="0"/>
                      <w:marRight w:val="0"/>
                      <w:marTop w:val="450"/>
                      <w:marBottom w:val="0"/>
                      <w:divBdr>
                        <w:top w:val="none" w:sz="0" w:space="0" w:color="auto"/>
                        <w:left w:val="none" w:sz="0" w:space="0" w:color="auto"/>
                        <w:bottom w:val="none" w:sz="0" w:space="0" w:color="auto"/>
                        <w:right w:val="none" w:sz="0" w:space="0" w:color="auto"/>
                      </w:divBdr>
                      <w:divsChild>
                        <w:div w:id="2368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3601">
      <w:bodyDiv w:val="1"/>
      <w:marLeft w:val="0"/>
      <w:marRight w:val="0"/>
      <w:marTop w:val="0"/>
      <w:marBottom w:val="0"/>
      <w:divBdr>
        <w:top w:val="none" w:sz="0" w:space="0" w:color="auto"/>
        <w:left w:val="none" w:sz="0" w:space="0" w:color="auto"/>
        <w:bottom w:val="none" w:sz="0" w:space="0" w:color="auto"/>
        <w:right w:val="none" w:sz="0" w:space="0" w:color="auto"/>
      </w:divBdr>
    </w:div>
    <w:div w:id="14460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pattFill prst="ltDnDiag">
          <a:fgClr>
            <a:schemeClr val="dk1">
              <a:lumMod val="15000"/>
              <a:lumOff val="85000"/>
            </a:schemeClr>
          </a:fgClr>
          <a:bgClr>
            <a:schemeClr val="lt1"/>
          </a:bgClr>
        </a:pattFill>
        <a:ln>
          <a:noFill/>
        </a:ln>
        <a:effectLst/>
        <a:sp3d/>
      </c:spPr>
    </c:floor>
    <c:sideWall>
      <c:thickness val="0"/>
      <c:spPr>
        <a:pattFill prst="ltDnDiag">
          <a:fgClr>
            <a:schemeClr val="dk1">
              <a:lumMod val="15000"/>
              <a:lumOff val="85000"/>
            </a:schemeClr>
          </a:fgClr>
          <a:bgClr>
            <a:schemeClr val="lt1"/>
          </a:bgClr>
        </a:pattFill>
        <a:ln>
          <a:noFill/>
        </a:ln>
        <a:effectLst/>
        <a:sp3d/>
      </c:spPr>
    </c:sideWall>
    <c:backWall>
      <c:thickness val="0"/>
      <c:spPr>
        <a:pattFill prst="ltDnDiag">
          <a:fgClr>
            <a:schemeClr val="dk1">
              <a:lumMod val="15000"/>
              <a:lumOff val="85000"/>
            </a:schemeClr>
          </a:fgClr>
          <a:bgClr>
            <a:schemeClr val="lt1"/>
          </a:bgClr>
        </a:pattFill>
        <a:ln>
          <a:noFill/>
        </a:ln>
        <a:effectLst/>
        <a:sp3d/>
      </c:spPr>
    </c:backWall>
    <c:plotArea>
      <c:layout>
        <c:manualLayout>
          <c:layoutTarget val="inner"/>
          <c:xMode val="edge"/>
          <c:yMode val="edge"/>
          <c:x val="4.9095768516740287E-2"/>
          <c:y val="3.3513957720141214E-2"/>
          <c:w val="0.89825424404109111"/>
          <c:h val="0.75764370750584509"/>
        </c:manualLayout>
      </c:layout>
      <c:bar3DChart>
        <c:barDir val="col"/>
        <c:grouping val="standard"/>
        <c:varyColors val="0"/>
        <c:ser>
          <c:idx val="0"/>
          <c:order val="0"/>
          <c:tx>
            <c:strRef>
              <c:f>Лист1!$B$1</c:f>
              <c:strCache>
                <c:ptCount val="1"/>
                <c:pt idx="0">
                  <c:v>2018</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Электронный аукцион</c:v>
                </c:pt>
                <c:pt idx="1">
                  <c:v>Запрос котировок в электронной форме</c:v>
                </c:pt>
                <c:pt idx="2">
                  <c:v>Открытый конкурс в электронной форме</c:v>
                </c:pt>
                <c:pt idx="3">
                  <c:v>Малые закупки</c:v>
                </c:pt>
              </c:strCache>
            </c:strRef>
          </c:cat>
          <c:val>
            <c:numRef>
              <c:f>Лист1!$B$2:$B$5</c:f>
              <c:numCache>
                <c:formatCode>General</c:formatCode>
                <c:ptCount val="4"/>
                <c:pt idx="0">
                  <c:v>125</c:v>
                </c:pt>
                <c:pt idx="1">
                  <c:v>140</c:v>
                </c:pt>
                <c:pt idx="2">
                  <c:v>17</c:v>
                </c:pt>
                <c:pt idx="3">
                  <c:v>0</c:v>
                </c:pt>
              </c:numCache>
            </c:numRef>
          </c:val>
          <c:extLst xmlns:c16r2="http://schemas.microsoft.com/office/drawing/2015/06/chart">
            <c:ext xmlns:c16="http://schemas.microsoft.com/office/drawing/2014/chart" uri="{C3380CC4-5D6E-409C-BE32-E72D297353CC}">
              <c16:uniqueId val="{00000000-7CC6-4EC9-8491-0B5C752A03AC}"/>
            </c:ext>
          </c:extLst>
        </c:ser>
        <c:ser>
          <c:idx val="1"/>
          <c:order val="1"/>
          <c:tx>
            <c:strRef>
              <c:f>Лист1!$C$1</c:f>
              <c:strCache>
                <c:ptCount val="1"/>
                <c:pt idx="0">
                  <c:v>2019</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Электронный аукцион</c:v>
                </c:pt>
                <c:pt idx="1">
                  <c:v>Запрос котировок в электронной форме</c:v>
                </c:pt>
                <c:pt idx="2">
                  <c:v>Открытый конкурс в электронной форме</c:v>
                </c:pt>
                <c:pt idx="3">
                  <c:v>Малые закупки</c:v>
                </c:pt>
              </c:strCache>
            </c:strRef>
          </c:cat>
          <c:val>
            <c:numRef>
              <c:f>Лист1!$C$2:$C$5</c:f>
              <c:numCache>
                <c:formatCode>General</c:formatCode>
                <c:ptCount val="4"/>
                <c:pt idx="0">
                  <c:v>257</c:v>
                </c:pt>
                <c:pt idx="1">
                  <c:v>77</c:v>
                </c:pt>
                <c:pt idx="2">
                  <c:v>2</c:v>
                </c:pt>
                <c:pt idx="3">
                  <c:v>0</c:v>
                </c:pt>
              </c:numCache>
            </c:numRef>
          </c:val>
          <c:extLst xmlns:c16r2="http://schemas.microsoft.com/office/drawing/2015/06/chart">
            <c:ext xmlns:c16="http://schemas.microsoft.com/office/drawing/2014/chart" uri="{C3380CC4-5D6E-409C-BE32-E72D297353CC}">
              <c16:uniqueId val="{00000001-7CC6-4EC9-8491-0B5C752A03AC}"/>
            </c:ext>
          </c:extLst>
        </c:ser>
        <c:ser>
          <c:idx val="2"/>
          <c:order val="2"/>
          <c:tx>
            <c:strRef>
              <c:f>Лист1!$D$1</c:f>
              <c:strCache>
                <c:ptCount val="1"/>
                <c:pt idx="0">
                  <c:v>2020</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Электронный аукцион</c:v>
                </c:pt>
                <c:pt idx="1">
                  <c:v>Запрос котировок в электронной форме</c:v>
                </c:pt>
                <c:pt idx="2">
                  <c:v>Открытый конкурс в электронной форме</c:v>
                </c:pt>
                <c:pt idx="3">
                  <c:v>Малые закупки</c:v>
                </c:pt>
              </c:strCache>
            </c:strRef>
          </c:cat>
          <c:val>
            <c:numRef>
              <c:f>Лист1!$D$2:$D$5</c:f>
              <c:numCache>
                <c:formatCode>General</c:formatCode>
                <c:ptCount val="4"/>
                <c:pt idx="0">
                  <c:v>286</c:v>
                </c:pt>
                <c:pt idx="1">
                  <c:v>19</c:v>
                </c:pt>
                <c:pt idx="2">
                  <c:v>14</c:v>
                </c:pt>
                <c:pt idx="3">
                  <c:v>27</c:v>
                </c:pt>
              </c:numCache>
            </c:numRef>
          </c:val>
          <c:extLst xmlns:c16r2="http://schemas.microsoft.com/office/drawing/2015/06/chart">
            <c:ext xmlns:c16="http://schemas.microsoft.com/office/drawing/2014/chart" uri="{C3380CC4-5D6E-409C-BE32-E72D297353CC}">
              <c16:uniqueId val="{00000002-7CC6-4EC9-8491-0B5C752A03AC}"/>
            </c:ext>
          </c:extLst>
        </c:ser>
        <c:dLbls>
          <c:showLegendKey val="0"/>
          <c:showVal val="1"/>
          <c:showCatName val="0"/>
          <c:showSerName val="0"/>
          <c:showPercent val="0"/>
          <c:showBubbleSize val="0"/>
        </c:dLbls>
        <c:gapWidth val="267"/>
        <c:shape val="box"/>
        <c:axId val="522176416"/>
        <c:axId val="522176976"/>
        <c:axId val="390960544"/>
      </c:bar3DChart>
      <c:catAx>
        <c:axId val="522176416"/>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2176976"/>
        <c:crosses val="autoZero"/>
        <c:auto val="1"/>
        <c:lblAlgn val="ctr"/>
        <c:lblOffset val="100"/>
        <c:noMultiLvlLbl val="0"/>
      </c:catAx>
      <c:valAx>
        <c:axId val="5221769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522176416"/>
        <c:crosses val="autoZero"/>
        <c:crossBetween val="between"/>
      </c:valAx>
      <c:serAx>
        <c:axId val="390960544"/>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22176976"/>
        <c:crosses val="autoZero"/>
      </c:serAx>
      <c:spPr>
        <a:solidFill>
          <a:schemeClr val="lt1"/>
        </a:solid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842793088363961"/>
          <c:y val="4.3650793650793648E-2"/>
          <c:w val="0.67610910615339748"/>
          <c:h val="0.82192413448318957"/>
        </c:manualLayout>
      </c:layout>
      <c:bar3DChart>
        <c:barDir val="bar"/>
        <c:grouping val="clustered"/>
        <c:varyColors val="0"/>
        <c:ser>
          <c:idx val="0"/>
          <c:order val="0"/>
          <c:tx>
            <c:strRef>
              <c:f>Лист1!$B$1</c:f>
              <c:strCache>
                <c:ptCount val="1"/>
                <c:pt idx="0">
                  <c:v>2018</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tx>
                <c:rich>
                  <a:bodyPr rot="0" spcFirstLastPara="1" vertOverflow="ellipsis" vert="horz" wrap="square" lIns="38100" tIns="19050" rIns="38100" bIns="19050" anchor="ctr" anchorCtr="1">
                    <a:noAutofit/>
                  </a:bodyPr>
                  <a:lstStyle/>
                  <a:p>
                    <a:pPr>
                      <a:defRPr sz="900" b="1" i="1" u="none" strike="noStrike" kern="1200" baseline="0">
                        <a:solidFill>
                          <a:sysClr val="windowText" lastClr="000000"/>
                        </a:solidFill>
                        <a:latin typeface="+mn-lt"/>
                        <a:ea typeface="+mn-ea"/>
                        <a:cs typeface="+mn-cs"/>
                      </a:defRPr>
                    </a:pPr>
                    <a:r>
                      <a:rPr lang="ru-RU">
                        <a:solidFill>
                          <a:sysClr val="windowText" lastClr="000000"/>
                        </a:solidFill>
                      </a:rPr>
                      <a:t>173851,48 тыс.руб.</a:t>
                    </a:r>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D8-4579-B617-EC06AE75B586}"/>
                </c:ext>
                <c:ext xmlns:c15="http://schemas.microsoft.com/office/drawing/2012/chart" uri="{CE6537A1-D6FC-4f65-9D91-7224C49458BB}">
                  <c15:spPr xmlns:c15="http://schemas.microsoft.com/office/drawing/2012/chart">
                    <a:prstGeom prst="rect">
                      <a:avLst/>
                    </a:prstGeom>
                  </c15:spPr>
                  <c15:layout/>
                </c:ext>
              </c:extLst>
            </c:dLbl>
            <c:dLbl>
              <c:idx val="1"/>
              <c:layout/>
              <c:tx>
                <c:rich>
                  <a:bodyPr/>
                  <a:lstStyle/>
                  <a:p>
                    <a:r>
                      <a:rPr lang="ru-RU"/>
                      <a:t>22818,67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D8-4579-B617-EC06AE75B586}"/>
                </c:ext>
                <c:ext xmlns:c15="http://schemas.microsoft.com/office/drawing/2012/chart" uri="{CE6537A1-D6FC-4f65-9D91-7224C49458BB}">
                  <c15:layout/>
                </c:ext>
              </c:extLst>
            </c:dLbl>
            <c:dLbl>
              <c:idx val="2"/>
              <c:layout/>
              <c:tx>
                <c:rich>
                  <a:bodyPr/>
                  <a:lstStyle/>
                  <a:p>
                    <a:fld id="{A85EE653-A57D-474E-837E-8386FBC58D0D}" type="VALUE">
                      <a:rPr lang="ru-RU"/>
                      <a:pPr/>
                      <a:t>[ЗНАЧЕНИЕ]</a:t>
                    </a:fld>
                    <a:r>
                      <a:rPr lang="ru-RU"/>
                      <a:t>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0D8-4579-B617-EC06AE75B586}"/>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Электронный аукцион</c:v>
                </c:pt>
                <c:pt idx="1">
                  <c:v>запрос котировок</c:v>
                </c:pt>
                <c:pt idx="2">
                  <c:v>Открытый конкурс</c:v>
                </c:pt>
              </c:strCache>
            </c:strRef>
          </c:cat>
          <c:val>
            <c:numRef>
              <c:f>Лист1!$B$2:$B$4</c:f>
              <c:numCache>
                <c:formatCode>0.00</c:formatCode>
                <c:ptCount val="3"/>
                <c:pt idx="0">
                  <c:v>173851.48</c:v>
                </c:pt>
                <c:pt idx="1">
                  <c:v>22818.67</c:v>
                </c:pt>
                <c:pt idx="2">
                  <c:v>90228.58</c:v>
                </c:pt>
              </c:numCache>
            </c:numRef>
          </c:val>
          <c:shape val="cylinder"/>
          <c:extLst xmlns:c16r2="http://schemas.microsoft.com/office/drawing/2015/06/chart">
            <c:ext xmlns:c16="http://schemas.microsoft.com/office/drawing/2014/chart" uri="{C3380CC4-5D6E-409C-BE32-E72D297353CC}">
              <c16:uniqueId val="{00000003-30D8-4579-B617-EC06AE75B586}"/>
            </c:ext>
          </c:extLst>
        </c:ser>
        <c:ser>
          <c:idx val="1"/>
          <c:order val="1"/>
          <c:tx>
            <c:strRef>
              <c:f>Лист1!$C$1</c:f>
              <c:strCache>
                <c:ptCount val="1"/>
                <c:pt idx="0">
                  <c:v>2019</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0"/>
              <c:layout/>
              <c:tx>
                <c:rich>
                  <a:bodyPr/>
                  <a:lstStyle/>
                  <a:p>
                    <a:r>
                      <a:rPr lang="ru-RU"/>
                      <a:t>397562,92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0D8-4579-B617-EC06AE75B586}"/>
                </c:ext>
                <c:ext xmlns:c15="http://schemas.microsoft.com/office/drawing/2012/chart" uri="{CE6537A1-D6FC-4f65-9D91-7224C49458BB}">
                  <c15:layout/>
                </c:ext>
              </c:extLst>
            </c:dLbl>
            <c:dLbl>
              <c:idx val="1"/>
              <c:layout/>
              <c:tx>
                <c:rich>
                  <a:bodyPr/>
                  <a:lstStyle/>
                  <a:p>
                    <a:r>
                      <a:rPr lang="ru-RU"/>
                      <a:t>13458,46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0D8-4579-B617-EC06AE75B586}"/>
                </c:ext>
                <c:ext xmlns:c15="http://schemas.microsoft.com/office/drawing/2012/chart" uri="{CE6537A1-D6FC-4f65-9D91-7224C49458BB}">
                  <c15:layout/>
                </c:ext>
              </c:extLst>
            </c:dLbl>
            <c:dLbl>
              <c:idx val="2"/>
              <c:layout/>
              <c:tx>
                <c:rich>
                  <a:bodyPr/>
                  <a:lstStyle/>
                  <a:p>
                    <a:r>
                      <a:rPr lang="ru-RU"/>
                      <a:t>56399,03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0D8-4579-B617-EC06AE75B58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Электронный аукцион</c:v>
                </c:pt>
                <c:pt idx="1">
                  <c:v>запрос котировок</c:v>
                </c:pt>
                <c:pt idx="2">
                  <c:v>Открытый конкурс</c:v>
                </c:pt>
              </c:strCache>
            </c:strRef>
          </c:cat>
          <c:val>
            <c:numRef>
              <c:f>Лист1!$C$2:$C$4</c:f>
              <c:numCache>
                <c:formatCode>0.00</c:formatCode>
                <c:ptCount val="3"/>
                <c:pt idx="0">
                  <c:v>397562.92</c:v>
                </c:pt>
                <c:pt idx="1">
                  <c:v>13458.46</c:v>
                </c:pt>
                <c:pt idx="2">
                  <c:v>56399.03</c:v>
                </c:pt>
              </c:numCache>
            </c:numRef>
          </c:val>
          <c:shape val="cylinder"/>
          <c:extLst xmlns:c16r2="http://schemas.microsoft.com/office/drawing/2015/06/chart">
            <c:ext xmlns:c16="http://schemas.microsoft.com/office/drawing/2014/chart" uri="{C3380CC4-5D6E-409C-BE32-E72D297353CC}">
              <c16:uniqueId val="{00000007-30D8-4579-B617-EC06AE75B586}"/>
            </c:ext>
          </c:extLst>
        </c:ser>
        <c:ser>
          <c:idx val="2"/>
          <c:order val="2"/>
          <c:tx>
            <c:strRef>
              <c:f>Лист1!$D$1</c:f>
              <c:strCache>
                <c:ptCount val="1"/>
                <c:pt idx="0">
                  <c:v>2020</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dLbl>
              <c:idx val="0"/>
              <c:layout/>
              <c:tx>
                <c:rich>
                  <a:bodyPr/>
                  <a:lstStyle/>
                  <a:p>
                    <a:r>
                      <a:rPr lang="ru-RU" b="1" i="1">
                        <a:solidFill>
                          <a:sysClr val="windowText" lastClr="000000"/>
                        </a:solidFill>
                        <a:latin typeface="Times New Roman" panose="02020603050405020304" pitchFamily="18" charset="0"/>
                        <a:cs typeface="Times New Roman" panose="02020603050405020304" pitchFamily="18" charset="0"/>
                      </a:rPr>
                      <a:t>560298,40 тыс.руб.</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0D8-4579-B617-EC06AE75B58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Лист1!$A$2:$A$4</c:f>
              <c:strCache>
                <c:ptCount val="3"/>
                <c:pt idx="0">
                  <c:v>Электронный аукцион</c:v>
                </c:pt>
                <c:pt idx="1">
                  <c:v>запрос котировок</c:v>
                </c:pt>
                <c:pt idx="2">
                  <c:v>Открытый конкурс</c:v>
                </c:pt>
              </c:strCache>
            </c:strRef>
          </c:cat>
          <c:val>
            <c:numRef>
              <c:f>Лист1!$D$2:$D$4</c:f>
              <c:numCache>
                <c:formatCode>0.00</c:formatCode>
                <c:ptCount val="3"/>
                <c:pt idx="0">
                  <c:v>563184.05000000005</c:v>
                </c:pt>
                <c:pt idx="1">
                  <c:v>2885.65</c:v>
                </c:pt>
                <c:pt idx="2">
                  <c:v>0</c:v>
                </c:pt>
              </c:numCache>
            </c:numRef>
          </c:val>
          <c:shape val="cylinder"/>
          <c:extLst xmlns:c16r2="http://schemas.microsoft.com/office/drawing/2015/06/chart">
            <c:ext xmlns:c16="http://schemas.microsoft.com/office/drawing/2014/chart" uri="{C3380CC4-5D6E-409C-BE32-E72D297353CC}">
              <c16:uniqueId val="{00000009-30D8-4579-B617-EC06AE75B586}"/>
            </c:ext>
          </c:extLst>
        </c:ser>
        <c:dLbls>
          <c:showLegendKey val="0"/>
          <c:showVal val="1"/>
          <c:showCatName val="0"/>
          <c:showSerName val="0"/>
          <c:showPercent val="0"/>
          <c:showBubbleSize val="0"/>
        </c:dLbls>
        <c:gapWidth val="65"/>
        <c:shape val="box"/>
        <c:axId val="522314800"/>
        <c:axId val="522315360"/>
        <c:axId val="0"/>
      </c:bar3DChart>
      <c:catAx>
        <c:axId val="522314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mn-cs"/>
              </a:defRPr>
            </a:pPr>
            <a:endParaRPr lang="ru-RU"/>
          </a:p>
        </c:txPr>
        <c:crossAx val="522315360"/>
        <c:crosses val="autoZero"/>
        <c:auto val="1"/>
        <c:lblAlgn val="ctr"/>
        <c:lblOffset val="100"/>
        <c:noMultiLvlLbl val="0"/>
      </c:catAx>
      <c:valAx>
        <c:axId val="522315360"/>
        <c:scaling>
          <c:orientation val="minMax"/>
        </c:scaling>
        <c:delete val="1"/>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crossAx val="52231480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7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013275514473735"/>
          <c:w val="1"/>
          <c:h val="0.86986724485526268"/>
        </c:manualLayout>
      </c:layout>
      <c:pie3DChart>
        <c:varyColors val="1"/>
        <c:ser>
          <c:idx val="0"/>
          <c:order val="0"/>
          <c:tx>
            <c:strRef>
              <c:f>Лист1!$B$1</c:f>
              <c:strCache>
                <c:ptCount val="1"/>
                <c:pt idx="0">
                  <c:v>Столбец1</c:v>
                </c:pt>
              </c:strCache>
            </c:strRef>
          </c:tx>
          <c:explosion val="42"/>
          <c:dPt>
            <c:idx val="0"/>
            <c:bubble3D val="0"/>
            <c:explosion val="38"/>
            <c:spPr>
              <a:solidFill>
                <a:schemeClr val="accent2">
                  <a:tint val="6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B3D-40D4-A463-38EEB6A323D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B3D-40D4-A463-38EEB6A323D6}"/>
              </c:ext>
            </c:extLst>
          </c:dPt>
          <c:dPt>
            <c:idx val="2"/>
            <c:bubble3D val="0"/>
            <c:explosion val="52"/>
            <c:spPr>
              <a:solidFill>
                <a:schemeClr val="accent2">
                  <a:shade val="6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B3D-40D4-A463-38EEB6A323D6}"/>
              </c:ext>
            </c:extLst>
          </c:dPt>
          <c:dLbls>
            <c:dLbl>
              <c:idx val="1"/>
              <c:layout>
                <c:manualLayout>
                  <c:x val="-9.6153846153846159E-2"/>
                  <c:y val="-4.733727810650887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B3D-40D4-A463-38EEB6A323D6}"/>
                </c:ext>
                <c:ext xmlns:c15="http://schemas.microsoft.com/office/drawing/2012/chart" uri="{CE6537A1-D6FC-4f65-9D91-7224C49458BB}">
                  <c15:layout/>
                </c:ext>
              </c:extLst>
            </c:dLbl>
            <c:dLbl>
              <c:idx val="2"/>
              <c:layout>
                <c:manualLayout>
                  <c:x val="-2.5641025641025796E-2"/>
                  <c:y val="0.1183431952662721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B3D-40D4-A463-38EEB6A323D6}"/>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Лист1!$A$2:$A$4</c:f>
              <c:strCache>
                <c:ptCount val="3"/>
                <c:pt idx="0">
                  <c:v>электронные аукционы</c:v>
                </c:pt>
                <c:pt idx="1">
                  <c:v>запросы котировок</c:v>
                </c:pt>
                <c:pt idx="2">
                  <c:v>Открые конкурсы</c:v>
                </c:pt>
              </c:strCache>
            </c:strRef>
          </c:cat>
          <c:val>
            <c:numRef>
              <c:f>Лист1!$B$2:$B$4</c:f>
              <c:numCache>
                <c:formatCode>0.00%</c:formatCode>
                <c:ptCount val="3"/>
                <c:pt idx="0">
                  <c:v>0.90800000000000003</c:v>
                </c:pt>
                <c:pt idx="1">
                  <c:v>9.1999999999999998E-2</c:v>
                </c:pt>
                <c:pt idx="2">
                  <c:v>0</c:v>
                </c:pt>
              </c:numCache>
            </c:numRef>
          </c:val>
          <c:extLst xmlns:c16r2="http://schemas.microsoft.com/office/drawing/2015/06/chart">
            <c:ext xmlns:c16="http://schemas.microsoft.com/office/drawing/2014/chart" uri="{C3380CC4-5D6E-409C-BE32-E72D297353CC}">
              <c16:uniqueId val="{00000006-1B3D-40D4-A463-38EEB6A323D6}"/>
            </c:ext>
          </c:extLst>
        </c:ser>
        <c:dLbls>
          <c:showLegendKey val="0"/>
          <c:showVal val="0"/>
          <c:showCatName val="0"/>
          <c:showSerName val="0"/>
          <c:showPercent val="0"/>
          <c:showBubbleSize val="0"/>
          <c:showLeaderLines val="0"/>
        </c:dLbls>
      </c:pie3D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a:t>Доля муниципальных закупок, осуществленных у СМП и СОНКО в 2018-2020 гг.</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0"/>
      <c:rotY val="0"/>
      <c:depthPercent val="60"/>
      <c:rAngAx val="0"/>
      <c:perspective val="100"/>
    </c:view3D>
    <c:floor>
      <c:thickness val="0"/>
      <c:spPr>
        <a:pattFill prst="ltDnDiag">
          <a:fgClr>
            <a:schemeClr val="dk1">
              <a:lumMod val="15000"/>
              <a:lumOff val="85000"/>
            </a:schemeClr>
          </a:fgClr>
          <a:bgClr>
            <a:schemeClr val="lt1"/>
          </a:bgClr>
        </a:pattFill>
        <a:ln>
          <a:noFill/>
        </a:ln>
        <a:effectLst/>
        <a:sp3d/>
      </c:spPr>
    </c:floor>
    <c:sideWall>
      <c:thickness val="0"/>
      <c:spPr>
        <a:pattFill prst="ltDnDiag">
          <a:fgClr>
            <a:schemeClr val="dk1">
              <a:lumMod val="15000"/>
              <a:lumOff val="85000"/>
            </a:schemeClr>
          </a:fgClr>
          <a:bgClr>
            <a:schemeClr val="lt1"/>
          </a:bgClr>
        </a:pattFill>
        <a:ln>
          <a:noFill/>
        </a:ln>
        <a:effectLst/>
        <a:sp3d/>
      </c:spPr>
    </c:sideWall>
    <c:backWall>
      <c:thickness val="0"/>
      <c:spPr>
        <a:pattFill prst="ltDnDiag">
          <a:fgClr>
            <a:schemeClr val="dk1">
              <a:lumMod val="15000"/>
              <a:lumOff val="85000"/>
            </a:schemeClr>
          </a:fgClr>
          <a:bgClr>
            <a:schemeClr val="lt1"/>
          </a:bgClr>
        </a:pattFill>
        <a:ln>
          <a:noFill/>
        </a:ln>
        <a:effectLst/>
        <a:sp3d/>
      </c:spPr>
    </c:backWall>
    <c:plotArea>
      <c:layout/>
      <c:bar3DChart>
        <c:barDir val="col"/>
        <c:grouping val="standard"/>
        <c:varyColors val="0"/>
        <c:ser>
          <c:idx val="0"/>
          <c:order val="0"/>
          <c:tx>
            <c:strRef>
              <c:f>Лист1!$B$1</c:f>
              <c:strCache>
                <c:ptCount val="1"/>
                <c:pt idx="0">
                  <c:v>2018</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numCache>
            </c:numRef>
          </c:cat>
          <c:val>
            <c:numRef>
              <c:f>Лист1!$B$2:$B$5</c:f>
              <c:numCache>
                <c:formatCode>General</c:formatCode>
                <c:ptCount val="4"/>
                <c:pt idx="0" formatCode="0.00%">
                  <c:v>0.36</c:v>
                </c:pt>
              </c:numCache>
            </c:numRef>
          </c:val>
          <c:shape val="pyramid"/>
          <c:extLst xmlns:c16r2="http://schemas.microsoft.com/office/drawing/2015/06/chart">
            <c:ext xmlns:c16="http://schemas.microsoft.com/office/drawing/2014/chart" uri="{C3380CC4-5D6E-409C-BE32-E72D297353CC}">
              <c16:uniqueId val="{00000000-4401-46A1-BD4A-8E252609DB41}"/>
            </c:ext>
          </c:extLst>
        </c:ser>
        <c:ser>
          <c:idx val="1"/>
          <c:order val="1"/>
          <c:tx>
            <c:strRef>
              <c:f>Лист1!$C$1</c:f>
              <c:strCache>
                <c:ptCount val="1"/>
                <c:pt idx="0">
                  <c:v>2019</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numCache>
            </c:numRef>
          </c:cat>
          <c:val>
            <c:numRef>
              <c:f>Лист1!$C$2:$C$5</c:f>
              <c:numCache>
                <c:formatCode>General</c:formatCode>
                <c:ptCount val="4"/>
                <c:pt idx="0" formatCode="0.00%">
                  <c:v>0.313</c:v>
                </c:pt>
              </c:numCache>
            </c:numRef>
          </c:val>
          <c:shape val="pyramid"/>
          <c:extLst xmlns:c16r2="http://schemas.microsoft.com/office/drawing/2015/06/chart">
            <c:ext xmlns:c16="http://schemas.microsoft.com/office/drawing/2014/chart" uri="{C3380CC4-5D6E-409C-BE32-E72D297353CC}">
              <c16:uniqueId val="{00000001-4401-46A1-BD4A-8E252609DB41}"/>
            </c:ext>
          </c:extLst>
        </c:ser>
        <c:ser>
          <c:idx val="2"/>
          <c:order val="2"/>
          <c:tx>
            <c:strRef>
              <c:f>Лист1!$D$1</c:f>
              <c:strCache>
                <c:ptCount val="1"/>
                <c:pt idx="0">
                  <c:v>2020</c:v>
                </c:pt>
              </c:strCache>
            </c:strRef>
          </c:tx>
          <c:spPr>
            <a:solidFill>
              <a:schemeClr val="accent3"/>
            </a:solidFill>
            <a:ln>
              <a:noFill/>
            </a:ln>
            <a:effectLst/>
            <a:sp3d/>
          </c:spPr>
          <c:invertIfNegative val="0"/>
          <c:dLbls>
            <c:dLbl>
              <c:idx val="0"/>
              <c:layout>
                <c:manualLayout>
                  <c:x val="5.5555555555555552E-2"/>
                  <c:y val="5.57880055788000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401-46A1-BD4A-8E252609DB41}"/>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numCache>
            </c:numRef>
          </c:cat>
          <c:val>
            <c:numRef>
              <c:f>Лист1!$D$2:$D$5</c:f>
              <c:numCache>
                <c:formatCode>General</c:formatCode>
                <c:ptCount val="4"/>
                <c:pt idx="0" formatCode="0.00%">
                  <c:v>0.435</c:v>
                </c:pt>
              </c:numCache>
            </c:numRef>
          </c:val>
          <c:shape val="pyramid"/>
          <c:extLst xmlns:c16r2="http://schemas.microsoft.com/office/drawing/2015/06/chart">
            <c:ext xmlns:c16="http://schemas.microsoft.com/office/drawing/2014/chart" uri="{C3380CC4-5D6E-409C-BE32-E72D297353CC}">
              <c16:uniqueId val="{00000003-4401-46A1-BD4A-8E252609DB41}"/>
            </c:ext>
          </c:extLst>
        </c:ser>
        <c:dLbls>
          <c:showLegendKey val="0"/>
          <c:showVal val="1"/>
          <c:showCatName val="0"/>
          <c:showSerName val="0"/>
          <c:showPercent val="0"/>
          <c:showBubbleSize val="0"/>
        </c:dLbls>
        <c:gapWidth val="150"/>
        <c:shape val="box"/>
        <c:axId val="516086240"/>
        <c:axId val="522235360"/>
        <c:axId val="390971152"/>
      </c:bar3DChart>
      <c:catAx>
        <c:axId val="51608624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2235360"/>
        <c:crosses val="autoZero"/>
        <c:auto val="1"/>
        <c:lblAlgn val="ctr"/>
        <c:lblOffset val="100"/>
        <c:noMultiLvlLbl val="0"/>
      </c:catAx>
      <c:valAx>
        <c:axId val="52223536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6086240"/>
        <c:crosses val="autoZero"/>
        <c:crossBetween val="between"/>
      </c:valAx>
      <c:serAx>
        <c:axId val="390971152"/>
        <c:scaling>
          <c:orientation val="minMax"/>
        </c:scaling>
        <c:delete val="0"/>
        <c:axPos val="b"/>
        <c:majorGridlines>
          <c:spPr>
            <a:ln w="9525" cap="flat" cmpd="sng" algn="ctr">
              <a:solidFill>
                <a:schemeClr val="dk1">
                  <a:lumMod val="15000"/>
                  <a:lumOff val="85000"/>
                  <a:alpha val="54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2235360"/>
        <c:crosses val="autoZero"/>
      </c:serAx>
      <c:spPr>
        <a:solidFill>
          <a:schemeClr val="lt1"/>
        </a:solid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Уполномоченный орган</c:v>
                </c:pt>
              </c:strCache>
            </c:strRef>
          </c:tx>
          <c:explosion val="24"/>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9F3-4F22-B3BD-FAD79F6F0FC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9F3-4F22-B3BD-FAD79F6F0FC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9F3-4F22-B3BD-FAD79F6F0FC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9F3-4F22-B3BD-FAD79F6F0F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Учреждения культуры</c:v>
                </c:pt>
                <c:pt idx="1">
                  <c:v>Учредения образования</c:v>
                </c:pt>
                <c:pt idx="2">
                  <c:v>Учреждения ЖКХ</c:v>
                </c:pt>
                <c:pt idx="3">
                  <c:v>Прочее</c:v>
                </c:pt>
              </c:strCache>
            </c:strRef>
          </c:cat>
          <c:val>
            <c:numRef>
              <c:f>Лист1!$B$2:$B$5</c:f>
              <c:numCache>
                <c:formatCode>0.00%</c:formatCode>
                <c:ptCount val="4"/>
                <c:pt idx="0">
                  <c:v>0.22900000000000001</c:v>
                </c:pt>
                <c:pt idx="1">
                  <c:v>0.55900000000000005</c:v>
                </c:pt>
                <c:pt idx="2">
                  <c:v>8.3000000000000004E-2</c:v>
                </c:pt>
                <c:pt idx="3">
                  <c:v>0.129</c:v>
                </c:pt>
              </c:numCache>
            </c:numRef>
          </c:val>
          <c:extLst xmlns:c16r2="http://schemas.microsoft.com/office/drawing/2015/06/chart">
            <c:ext xmlns:c16="http://schemas.microsoft.com/office/drawing/2014/chart" uri="{C3380CC4-5D6E-409C-BE32-E72D297353CC}">
              <c16:uniqueId val="{00000008-09F3-4F22-B3BD-FAD79F6F0FC4}"/>
            </c:ext>
          </c:extLst>
        </c:ser>
        <c:dLbls>
          <c:dLblPos val="bestFit"/>
          <c:showLegendKey val="0"/>
          <c:showVal val="1"/>
          <c:showCatName val="0"/>
          <c:showSerName val="0"/>
          <c:showPercent val="0"/>
          <c:showBubbleSize val="0"/>
          <c:showLeaderLines val="1"/>
        </c:dLbls>
      </c:pie3D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Структура экономии в результате проведения конкурсных процедур</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6.3548637815621881E-2"/>
          <c:y val="0.21362651346903316"/>
          <c:w val="0.52585664001302168"/>
          <c:h val="0.69458069489565555"/>
        </c:manualLayout>
      </c:layout>
      <c:bubbleChart>
        <c:varyColors val="1"/>
        <c:ser>
          <c:idx val="0"/>
          <c:order val="0"/>
          <c:tx>
            <c:strRef>
              <c:f>Лист1!$B$1</c:f>
              <c:strCache>
                <c:ptCount val="1"/>
                <c:pt idx="0">
                  <c:v>Столбец1</c:v>
                </c:pt>
              </c:strCache>
            </c:strRef>
          </c:tx>
          <c:invertIfNegative val="0"/>
          <c:dPt>
            <c:idx val="0"/>
            <c:invertIfNegative val="0"/>
            <c:bubble3D val="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7034-4F0D-8781-FE66F26B27C5}"/>
              </c:ext>
            </c:extLst>
          </c:dPt>
          <c:dPt>
            <c:idx val="1"/>
            <c:invertIfNegative val="0"/>
            <c:bubble3D val="1"/>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7034-4F0D-8781-FE66F26B27C5}"/>
              </c:ext>
            </c:extLst>
          </c:dPt>
          <c:dPt>
            <c:idx val="2"/>
            <c:invertIfNegative val="0"/>
            <c:bubble3D val="1"/>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7034-4F0D-8781-FE66F26B27C5}"/>
              </c:ext>
            </c:extLst>
          </c:dPt>
          <c:dPt>
            <c:idx val="3"/>
            <c:invertIfNegative val="0"/>
            <c:bubble3D val="1"/>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7034-4F0D-8781-FE66F26B27C5}"/>
              </c:ext>
            </c:extLst>
          </c:dPt>
          <c:dPt>
            <c:idx val="4"/>
            <c:invertIfNegative val="0"/>
            <c:bubble3D val="1"/>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7034-4F0D-8781-FE66F26B27C5}"/>
              </c:ext>
            </c:extLst>
          </c:dPt>
          <c:dLbls>
            <c:dLbl>
              <c:idx val="0"/>
              <c:layout>
                <c:manualLayout>
                  <c:x val="-3.51595018594206E-2"/>
                  <c:y val="-3.436426116838491E-2"/>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39,98 %</a:t>
                    </a:r>
                  </a:p>
                  <a:p>
                    <a:pPr>
                      <a:defRPr b="1">
                        <a:solidFill>
                          <a:sysClr val="windowText" lastClr="000000"/>
                        </a:solidFill>
                        <a:latin typeface="Times New Roman" panose="02020603050405020304" pitchFamily="18" charset="0"/>
                        <a:cs typeface="Times New Roman" panose="02020603050405020304" pitchFamily="18" charset="0"/>
                      </a:defRPr>
                    </a:pPr>
                    <a:endParaRPr lang="en-US" b="1">
                      <a:solidFill>
                        <a:sysClr val="windowText" lastClr="000000"/>
                      </a:solidFill>
                      <a:latin typeface="Times New Roman" panose="02020603050405020304" pitchFamily="18" charset="0"/>
                      <a:cs typeface="Times New Roman" panose="02020603050405020304" pitchFamily="18" charset="0"/>
                    </a:endParaRPr>
                  </a:p>
                </c:rich>
              </c:tx>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1"/>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7034-4F0D-8781-FE66F26B27C5}"/>
                </c:ext>
                <c:ext xmlns:c15="http://schemas.microsoft.com/office/drawing/2012/chart" uri="{CE6537A1-D6FC-4f65-9D91-7224C49458BB}">
                  <c15:spPr xmlns:c15="http://schemas.microsoft.com/office/drawing/2012/chart">
                    <a:prstGeom prst="wedgeEllipseCallout">
                      <a:avLst/>
                    </a:prstGeom>
                    <a:noFill/>
                    <a:ln>
                      <a:noFill/>
                    </a:ln>
                  </c15:spPr>
                  <c15:layout/>
                </c:ext>
              </c:extLst>
            </c:dLbl>
            <c:dLbl>
              <c:idx val="1"/>
              <c:layout>
                <c:manualLayout>
                  <c:x val="-0.19957423471532251"/>
                  <c:y val="-0.14089347079037806"/>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2921BD8-E5C0-43F5-BCE1-2DCD88D71683}" type="VALUE">
                      <a:rPr lang="en-US" b="1">
                        <a:solidFill>
                          <a:sysClr val="windowText" lastClr="000000"/>
                        </a:solidFill>
                        <a:latin typeface="Times New Roman" panose="02020603050405020304" pitchFamily="18" charset="0"/>
                        <a:cs typeface="Times New Roman" panose="02020603050405020304" pitchFamily="18" charset="0"/>
                      </a:rPr>
                      <a:pPr>
                        <a:defRPr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1"/>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7034-4F0D-8781-FE66F26B27C5}"/>
                </c:ext>
                <c:ext xmlns:c15="http://schemas.microsoft.com/office/drawing/2012/chart" uri="{CE6537A1-D6FC-4f65-9D91-7224C49458BB}">
                  <c15:spPr xmlns:c15="http://schemas.microsoft.com/office/drawing/2012/chart">
                    <a:prstGeom prst="wedgeEllipseCallout">
                      <a:avLst/>
                    </a:prstGeom>
                    <a:noFill/>
                    <a:ln>
                      <a:noFill/>
                    </a:ln>
                  </c15:spPr>
                  <c15:layout/>
                  <c15:dlblFieldTable/>
                  <c15:showDataLabelsRange val="0"/>
                </c:ext>
              </c:extLst>
            </c:dLbl>
            <c:dLbl>
              <c:idx val="2"/>
              <c:layout>
                <c:manualLayout>
                  <c:x val="-7.9594570251672311E-2"/>
                  <c:y val="-0.10652920962199312"/>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D76C448-C2EB-4286-9243-2E2CF1B48BD4}" type="VALUE">
                      <a:rPr lang="en-US" b="1">
                        <a:solidFill>
                          <a:sysClr val="windowText" lastClr="000000"/>
                        </a:solidFill>
                        <a:latin typeface="Times New Roman" panose="02020603050405020304" pitchFamily="18" charset="0"/>
                        <a:cs typeface="Times New Roman" panose="02020603050405020304" pitchFamily="18" charset="0"/>
                      </a:rPr>
                      <a:pPr>
                        <a:defRPr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1"/>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7034-4F0D-8781-FE66F26B27C5}"/>
                </c:ext>
                <c:ext xmlns:c15="http://schemas.microsoft.com/office/drawing/2012/chart" uri="{CE6537A1-D6FC-4f65-9D91-7224C49458BB}">
                  <c15:spPr xmlns:c15="http://schemas.microsoft.com/office/drawing/2012/chart">
                    <a:prstGeom prst="wedgeEllipseCallout">
                      <a:avLst/>
                    </a:prstGeom>
                    <a:noFill/>
                    <a:ln>
                      <a:noFill/>
                    </a:ln>
                  </c15:spPr>
                  <c15:layout/>
                  <c15:dlblFieldTable/>
                  <c15:showDataLabelsRange val="0"/>
                </c:ext>
              </c:extLst>
            </c:dLbl>
            <c:dLbl>
              <c:idx val="3"/>
              <c:layout>
                <c:manualLayout>
                  <c:x val="9.8327922532815068E-3"/>
                  <c:y val="-8.9347079037800689E-2"/>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51E968B-D79F-41B5-A705-F37E329507AE}" type="VALUE">
                      <a:rPr lang="en-US" b="1">
                        <a:solidFill>
                          <a:sysClr val="windowText" lastClr="000000"/>
                        </a:solidFill>
                        <a:latin typeface="Times New Roman" panose="02020603050405020304" pitchFamily="18" charset="0"/>
                        <a:cs typeface="Times New Roman" panose="02020603050405020304" pitchFamily="18" charset="0"/>
                      </a:rPr>
                      <a:pPr>
                        <a:defRPr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1"/>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7034-4F0D-8781-FE66F26B27C5}"/>
                </c:ext>
                <c:ext xmlns:c15="http://schemas.microsoft.com/office/drawing/2012/chart" uri="{CE6537A1-D6FC-4f65-9D91-7224C49458BB}">
                  <c15:spPr xmlns:c15="http://schemas.microsoft.com/office/drawing/2012/chart">
                    <a:prstGeom prst="wedgeEllipseCallout">
                      <a:avLst/>
                    </a:prstGeom>
                    <a:noFill/>
                    <a:ln>
                      <a:noFill/>
                    </a:ln>
                  </c15:spPr>
                  <c15:layout/>
                  <c15:dlblFieldTable/>
                  <c15:showDataLabelsRange val="0"/>
                </c:ext>
              </c:extLst>
            </c:dLbl>
            <c:dLbl>
              <c:idx val="4"/>
              <c:layout>
                <c:manualLayout>
                  <c:x val="-0.1019636602364207"/>
                  <c:y val="-0.17869415807560143"/>
                </c:manualLayout>
              </c:layout>
              <c:tx>
                <c:rich>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81E2791-5CF2-4120-BEDC-3CF3D8FB1245}" type="VALUE">
                      <a:rPr lang="en-US" b="1">
                        <a:solidFill>
                          <a:sysClr val="windowText" lastClr="000000"/>
                        </a:solidFill>
                        <a:latin typeface="Times New Roman" panose="02020603050405020304" pitchFamily="18" charset="0"/>
                        <a:cs typeface="Times New Roman" panose="02020603050405020304" pitchFamily="18" charset="0"/>
                      </a:rPr>
                      <a:pPr>
                        <a:defRPr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1"/>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9-7034-4F0D-8781-FE66F26B27C5}"/>
                </c:ext>
                <c:ext xmlns:c15="http://schemas.microsoft.com/office/drawing/2012/chart" uri="{CE6537A1-D6FC-4f65-9D91-7224C49458BB}">
                  <c15:spPr xmlns:c15="http://schemas.microsoft.com/office/drawing/2012/chart">
                    <a:prstGeom prst="wedgeEllipseCallout">
                      <a:avLst/>
                    </a:prstGeom>
                    <a:noFill/>
                    <a:ln>
                      <a:noFill/>
                    </a:ln>
                  </c15:spPr>
                  <c15:layout/>
                  <c15:dlblFieldTable/>
                  <c15:showDataLabelsRange val="0"/>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1"/>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EllipseCallout">
                    <a:avLst/>
                  </a:prstGeom>
                  <a:noFill/>
                  <a:ln>
                    <a:noFill/>
                  </a:ln>
                </c15:spPr>
                <c15:showLeaderLines val="1"/>
                <c15:leaderLines>
                  <c:spPr>
                    <a:ln w="9525">
                      <a:solidFill>
                        <a:schemeClr val="lt1">
                          <a:lumMod val="95000"/>
                          <a:alpha val="54000"/>
                        </a:schemeClr>
                      </a:solidFill>
                    </a:ln>
                    <a:effectLst/>
                  </c:spPr>
                </c15:leaderLines>
              </c:ext>
            </c:extLst>
          </c:dLbls>
          <c:xVal>
            <c:strRef>
              <c:f>Лист1!$A$2:$A$6</c:f>
              <c:strCache>
                <c:ptCount val="5"/>
                <c:pt idx="0">
                  <c:v>Текущий и капитальный ремонт автомобильных дорог и искусственных сооружений на них</c:v>
                </c:pt>
                <c:pt idx="1">
                  <c:v>Строительство объектов спорта и объектов культуры</c:v>
                </c:pt>
                <c:pt idx="2">
                  <c:v>Благоустройство территории ВГП</c:v>
                </c:pt>
                <c:pt idx="3">
                  <c:v>Строительство объектов коммунальной инфраструктуры</c:v>
                </c:pt>
                <c:pt idx="4">
                  <c:v>Прочее</c:v>
                </c:pt>
              </c:strCache>
            </c:strRef>
          </c:xVal>
          <c:yVal>
            <c:numRef>
              <c:f>Лист1!$B$2:$B$6</c:f>
              <c:numCache>
                <c:formatCode>0.00%</c:formatCode>
                <c:ptCount val="5"/>
                <c:pt idx="0">
                  <c:v>0.39700000000000002</c:v>
                </c:pt>
                <c:pt idx="1">
                  <c:v>5.91E-2</c:v>
                </c:pt>
                <c:pt idx="2">
                  <c:v>3.4000000000000002E-2</c:v>
                </c:pt>
                <c:pt idx="3">
                  <c:v>0.41310000000000002</c:v>
                </c:pt>
                <c:pt idx="4">
                  <c:v>9.4E-2</c:v>
                </c:pt>
              </c:numCache>
            </c:numRef>
          </c:yVal>
          <c:bubbleSize>
            <c:numLit>
              <c:formatCode>General</c:formatCode>
              <c:ptCount val="5"/>
              <c:pt idx="0">
                <c:v>1</c:v>
              </c:pt>
              <c:pt idx="1">
                <c:v>1</c:v>
              </c:pt>
              <c:pt idx="2">
                <c:v>1</c:v>
              </c:pt>
              <c:pt idx="3">
                <c:v>1</c:v>
              </c:pt>
              <c:pt idx="4">
                <c:v>1</c:v>
              </c:pt>
            </c:numLit>
          </c:bubbleSize>
          <c:bubble3D val="1"/>
          <c:extLst xmlns:c16r2="http://schemas.microsoft.com/office/drawing/2015/06/chart">
            <c:ext xmlns:c16="http://schemas.microsoft.com/office/drawing/2014/chart" uri="{C3380CC4-5D6E-409C-BE32-E72D297353CC}">
              <c16:uniqueId val="{0000000A-7034-4F0D-8781-FE66F26B27C5}"/>
            </c:ext>
          </c:extLst>
        </c:ser>
        <c:dLbls>
          <c:dLblPos val="ctr"/>
          <c:showLegendKey val="0"/>
          <c:showVal val="1"/>
          <c:showCatName val="0"/>
          <c:showSerName val="0"/>
          <c:showPercent val="0"/>
          <c:showBubbleSize val="0"/>
        </c:dLbls>
        <c:bubbleScale val="100"/>
        <c:showNegBubbles val="0"/>
        <c:sizeRepresents val="w"/>
        <c:axId val="519002448"/>
        <c:axId val="519003008"/>
      </c:bubbleChart>
      <c:valAx>
        <c:axId val="519002448"/>
        <c:scaling>
          <c:orientation val="minMax"/>
        </c:scaling>
        <c:delete val="0"/>
        <c:axPos val="b"/>
        <c:majorGridlines>
          <c:spPr>
            <a:ln w="9525" cap="flat" cmpd="sng" algn="ctr">
              <a:solidFill>
                <a:schemeClr val="lt1">
                  <a:lumMod val="95000"/>
                  <a:alpha val="10000"/>
                </a:schemeClr>
              </a:solidFill>
              <a:round/>
            </a:ln>
            <a:effectLst/>
          </c:spPr>
        </c:majorGridlines>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519003008"/>
        <c:crosses val="autoZero"/>
        <c:crossBetween val="midCat"/>
      </c:valAx>
      <c:valAx>
        <c:axId val="519003008"/>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519002448"/>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2018</c:v>
                </c:pt>
              </c:strCache>
            </c:strRef>
          </c:tx>
          <c:spPr>
            <a:solidFill>
              <a:schemeClr val="accent2"/>
            </a:solidFill>
            <a:ln>
              <a:noFill/>
            </a:ln>
            <a:effectLst/>
          </c:spPr>
          <c:invertIfNegative val="0"/>
          <c:cat>
            <c:numRef>
              <c:f>Лист1!$A$2</c:f>
              <c:numCache>
                <c:formatCode>General</c:formatCode>
                <c:ptCount val="1"/>
              </c:numCache>
            </c:numRef>
          </c:cat>
          <c:val>
            <c:numRef>
              <c:f>Лист1!$B$2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25C0-4B0D-BD64-54922CEB78A0}"/>
            </c:ext>
          </c:extLst>
        </c:ser>
        <c:ser>
          <c:idx val="1"/>
          <c:order val="1"/>
          <c:tx>
            <c:strRef>
              <c:f>Лист1!$C$1</c:f>
              <c:strCache>
                <c:ptCount val="1"/>
                <c:pt idx="0">
                  <c:v>2019</c:v>
                </c:pt>
              </c:strCache>
            </c:strRef>
          </c:tx>
          <c:spPr>
            <a:solidFill>
              <a:schemeClr val="accent4"/>
            </a:solidFill>
            <a:ln>
              <a:noFill/>
            </a:ln>
            <a:effectLst/>
          </c:spPr>
          <c:invertIfNegative val="0"/>
          <c:cat>
            <c:numRef>
              <c:f>Лист1!$A$2</c:f>
              <c:numCache>
                <c:formatCode>General</c:formatCode>
                <c:ptCount val="1"/>
              </c:numCache>
            </c:numRef>
          </c:cat>
          <c:val>
            <c:numRef>
              <c:f>Лист1!$C$2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25C0-4B0D-BD64-54922CEB78A0}"/>
            </c:ext>
          </c:extLst>
        </c:ser>
        <c:ser>
          <c:idx val="2"/>
          <c:order val="2"/>
          <c:tx>
            <c:strRef>
              <c:f>Лист1!$D$1</c:f>
              <c:strCache>
                <c:ptCount val="1"/>
                <c:pt idx="0">
                  <c:v>2020</c:v>
                </c:pt>
              </c:strCache>
            </c:strRef>
          </c:tx>
          <c:spPr>
            <a:solidFill>
              <a:schemeClr val="accent6"/>
            </a:solidFill>
            <a:ln>
              <a:noFill/>
            </a:ln>
            <a:effectLst/>
          </c:spPr>
          <c:invertIfNegative val="0"/>
          <c:cat>
            <c:numRef>
              <c:f>Лист1!$A$2</c:f>
              <c:numCache>
                <c:formatCode>General</c:formatCode>
                <c:ptCount val="1"/>
              </c:numCache>
            </c:numRef>
          </c:cat>
          <c:val>
            <c:numRef>
              <c:f>Лист1!$D$2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4-25C0-4B0D-BD64-54922CEB78A0}"/>
            </c:ext>
          </c:extLst>
        </c:ser>
        <c:dLbls>
          <c:showLegendKey val="0"/>
          <c:showVal val="0"/>
          <c:showCatName val="0"/>
          <c:showSerName val="0"/>
          <c:showPercent val="0"/>
          <c:showBubbleSize val="0"/>
        </c:dLbls>
        <c:gapWidth val="150"/>
        <c:axId val="487442640"/>
        <c:axId val="487443200"/>
      </c:barChart>
      <c:catAx>
        <c:axId val="48744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443200"/>
        <c:crosses val="autoZero"/>
        <c:auto val="1"/>
        <c:lblAlgn val="ctr"/>
        <c:lblOffset val="100"/>
        <c:noMultiLvlLbl val="0"/>
      </c:catAx>
      <c:valAx>
        <c:axId val="48744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442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AD07-B3D7-4A90-BE17-CD590355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3506</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19</cp:revision>
  <cp:lastPrinted>2021-03-17T13:20:00Z</cp:lastPrinted>
  <dcterms:created xsi:type="dcterms:W3CDTF">2018-01-10T02:23:00Z</dcterms:created>
  <dcterms:modified xsi:type="dcterms:W3CDTF">2021-03-17T13:27:00Z</dcterms:modified>
</cp:coreProperties>
</file>